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birokrātiju  jāsabalansē būvniecības procesu dalībnieku atbildība, ierosinām  izteikt 19. 4 prim sekojošā redakcijā, vienlaicīgi līdzam precizēt 1 punktu definējot terminu ,kas ir nebūtiskā faktiskā situācija dabā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(2)Būvdarbu veicējs pirms darbu uzsākšanas informē pazemes ārējo inženiertīklu īpašnieku īpašnieku vai valdītāju un  nenes atbildību pret pazemes ārējo inženiertīklu īpašnieku vai valdītāju, ja būvdarbu laikā pazemes ārējām inženiertīklam ir nodarīti jebkādi bojājumi sakarā ar to, ka informācija par inženiertīklu nav ietverta būvprojektā.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