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Finanšu ministrija izvērtē, cik lielā mērā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un nepieciešamības gadījumā veic tehniskās konsultācijas ar Eiropas Komisiju. Ja Finanšu ministrija atzīst, ka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atbalsta piemērošanas perioda noteikšanas sliekšņu sasniegšana var kalpot par pamatu Eiropas Savienības Padomei apstiprināt valsts izņēmuma klauzulas aktivizēšanu, Finanšu ministrija nodrošina pieprasījuma par valstij paredzētas izņēmuma klauzulas aktivizēšanu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331. punktā ietverto priekšlikumu vēršam uzmanību, ka anotācijā šobrīd ir pretēja informācija saistībā ar to, vai vispārējās izņēmuma klauzulas aktivizēšanai nepieciešams noteikt dalībvalsts atbildīgo iestādi, jo, lai gan anotācijā ir norādīts, ka Eiropas Savienības Padomes apstiprinājuma Savienības vai valsts specifiskā izņēmumu klauzulas aktivizēšanai projektā nepieciešams paredzēt kārtību, kādā ir saņemams Eiropas Savienības Padomes apstiprinājums, un nepieciešams noteikt par to atbildīgo iestādi, faktiski projektā attiecīgs regulējums attiecībā uz vispārējo izņēmuma klauzulu nav ietverts, bet anotācijas 5. sadaļā minēts, ja Finanšu ministrija, izvērtējot projektā minētā atbalsta piemērošanas perioda sākumu, secinās, ka tas atbilst vispārējās izņēmuma klauzulas piemērošanas kritērijiem, tā veiks visas nepieciešamās darbības, lai paziņotu to Eiropas Komisijai. Ievērojot minēto, lūdzam precizēt (salāgot) anotācijā ietverto skaidrojumu un nepieciešamības gadījumā atbilstoši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02.08.2024.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02.08.2024.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