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485 "Parāda atgūšanas pakalpojuma sniedzēju licencēšanas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50.punktā (noteikumu projekta 22.punkts) tiek noteikts - "</w:t>
            </w:r>
            <w:r w:rsidR="00000000" w:rsidRPr="00000000" w:rsidDel="00000000">
              <w:rPr>
                <w:i w:val="1"/>
                <w:rtl w:val="0"/>
              </w:rPr>
              <w:t xml:space="preserve">Ja speciālās atļaujas (licences) izsniegšana tiek atteikta, Valsts ieņēmumu dienests, pamatojoties uz Patērētāju tiesību aizsardzības centra lēmumu par speciālās atļaujas (licences) izsniegšanas atteikumu, atmaksā parāda atgūšanas pakalpojuma sniedzējam samaksāto valsts nodevu 50 procentu apmērā </w:t>
            </w:r>
            <w:r w:rsidR="00000000" w:rsidRPr="00000000" w:rsidDel="00000000">
              <w:rPr>
                <w:b w:val="1"/>
                <w:i w:val="1"/>
                <w:rtl w:val="0"/>
              </w:rPr>
              <w:t xml:space="preserve">saskaņā ar likumā "Par nodokļiem un nodevām" noteikto kārtību.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kurā likuma "Par nodokļiem un nodevām" pantā ir noteikta augstāk minētā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piemēru, kā tiktu aprēķināts valsts nodevas par parāda atgūšanas pakalpojumu sniedzēja darbības uzraudzību apmērs proporcionāli dienu skaitam saskaņā ar Noslēguma jautājumu 53.punktu.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no Valsts ieņēmumu dienesta datubāzes – informāciju par parāda atgūšanas pakalpojuma sniedzēja nokavētajiem nodokļu, nodevu vai valsts noteiktajiem maksājumiem valsts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16.1. apakšpunkta redakciju ievērojot, ka saskaņā ar likuma "Par nodokļiem un nodevām" 18.panta pirmās daļas 8.punktu Valsts ieņēmumu dienests nodrošina publiski pieeju informāciju tikai par tiem nodokļu maksātājiem, kuriem </w:t>
            </w:r>
            <w:r w:rsidR="00000000" w:rsidRPr="00000000" w:rsidDel="00000000">
              <w:rPr>
                <w:u w:val="single"/>
                <w:rtl w:val="0"/>
              </w:rPr>
              <w:t xml:space="preserve">Valsts ieņēmumu dienesta administrēto</w:t>
            </w:r>
            <w:r w:rsidR="00000000" w:rsidRPr="00000000" w:rsidDel="00000000">
              <w:rPr>
                <w:rtl w:val="0"/>
              </w:rPr>
              <w:t xml:space="preserve"> </w:t>
            </w:r>
            <w:r w:rsidR="00000000" w:rsidRPr="00000000" w:rsidDel="00000000">
              <w:rPr>
                <w:u w:val="single"/>
                <w:rtl w:val="0"/>
              </w:rPr>
              <w:t xml:space="preserve">nodokļu (nodevu) parāda kopsumma </w:t>
            </w:r>
            <w:r w:rsidR="00000000" w:rsidRPr="00000000" w:rsidDel="00000000">
              <w:rPr>
                <w:rtl w:val="0"/>
              </w:rPr>
              <w:t xml:space="preserve">pārsniedz 150 euro. Tādējādi no Valsts ieņēmumu dienesta administrēto nodokļu (nodevu) parādnieku datubāzes nevar iegūt informāciju par citiem nodokļu parādiem, ko neadministrē Valsts ieņēmumu dienests (piemēram, par nekustamā īpašuma nodokļa parādiem). Uzsveram, ka tā ir </w:t>
            </w:r>
            <w:r w:rsidR="00000000" w:rsidRPr="00000000" w:rsidDel="00000000">
              <w:rPr>
                <w:u w:val="single"/>
                <w:rtl w:val="0"/>
              </w:rPr>
              <w:t xml:space="preserve">Valsts ieņēmumu dienesta administrēto nodokļu (nodevu) parādnieku datubāze </w:t>
            </w:r>
            <w:r w:rsidR="00000000" w:rsidRPr="00000000" w:rsidDel="00000000">
              <w:rPr>
                <w:rtl w:val="0"/>
              </w:rPr>
              <w:t xml:space="preserve">un tajā nebūs informācija par nodokļu maksātājiem, kam Valsts ieņēmumu dienesta administrēto nodokļu (nodevu) parāds irmazāks par 150 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Valsts nodevu parāda atgūšanas pakalpojuma sniedzējs maksā ar tāda maksājumu pakalpojuma sniedzēja starpniecību, kuram ir tiesības sniegt maksājumu pakalpojumus Maksājumu pakalpojumu un elektroniskās naudas likuma izpratnē, norādot maksājuma mērķi – valsts nodeva par speciālās atļaujas (licences)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paredzētas 2 veidu valsts nodevas, proti: par speciālās atļaujas (licences) izsniegšanu un par parāda atgūšanas pakalpojuma sniedzēja darbības uzraudzību. No šī brīža noteikumu 48.punkta piedāvātās redakcijas jāsecina, ka, veicot maksājumu par valsts nodevu </w:t>
            </w:r>
            <w:r w:rsidR="00000000" w:rsidRPr="00000000" w:rsidDel="00000000">
              <w:rPr>
                <w:u w:val="single"/>
                <w:rtl w:val="0"/>
              </w:rPr>
              <w:t xml:space="preserve">par parāda atgūšanas pakalpojuma sniedzēja darbības uzraudzību,</w:t>
            </w:r>
            <w:r w:rsidR="00000000" w:rsidRPr="00000000" w:rsidDel="00000000">
              <w:rPr>
                <w:rtl w:val="0"/>
              </w:rPr>
              <w:t xml:space="preserve"> maksājuma mērķī jānorāda: </w:t>
            </w:r>
            <w:r w:rsidR="00000000" w:rsidRPr="00000000" w:rsidDel="00000000">
              <w:rPr>
                <w:u w:val="single"/>
                <w:rtl w:val="0"/>
              </w:rPr>
              <w:t xml:space="preserve">"valsts nodeva par speciālās atļaujas (licences) izsniegšanu", lai gan tas nav korekti.</w:t>
            </w:r>
            <w:r w:rsidR="00000000" w:rsidRPr="00000000" w:rsidDel="00000000">
              <w:rPr>
                <w:rtl w:val="0"/>
              </w:rPr>
              <w:t xml:space="preserve"> Lūdzu precizēt konkrēto punktu, lai nebūtu tāda situācija, ka noteikumi paredz maksājumu mērķi norādīt vienu valsts nodevu, lai gan tiek maksāta cita (ikgadējā) valsts nodeva.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Parādu ārpustiesas atgūšanas likumā, ar kuriem tika izslēgta valsts nodeva par speciālās atļaujas (licences) pārreģistrāciju, stājās spēkā š.g. 12.jūlijā. Ņemot vērā, ka likuma grozījumos nav pārejas normas attiecībā uz minētajām izmaiņām, no grozījumu likumā spēkā stāšanās brīža šī valsts nodeva nebija iekasējama.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noslēguma jautājumus ar punktu, kas skaidrotu, kāda rīcība attiecināma speciālajām atļaujām (licencēm), kas tika pārreģistrētas pēc š.g. 12.jūlija līdz šo noteikumu spēkā stāšanās brīdim. Ja neviena licence šajā periodā nav tikusi pārreģistrēta, lūdzam to norādīt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Speciālā atļauja (licence), kas izsniegta vai pārreģistrēta līdz 2024. gada 1. oktobrim, ir spēkā līdz speciālajā atļaujā (licencē) norādītā termiņa beigām, ja vien netiek pieņemts lēmums par speciālās atļaujas (licences) anulēšanu vai darbības apturēšanu saskaņā ar šiem noteikumiem.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grozījumi Ministru kabineta 2024. gada 16. jūlija noteikumos Nr. 485 "Parāda atgūšanas pakalpojuma sniedzēju licencēšanas kārtība" stāsies spēkā vispārējā kārtībā. Ņemot vērā, ka ir jau novembris, tas nozīmē, ka jaunā likme valsts nodevai par speciālās atļaujas (licences) izsniegšanu un jaunā valsts nodeva par parāda atgūšanas pakalpojuma sniedzēja darbības uzraudzību būs spēkā ar ievērojamu laika intervālu no 1.oktobra.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nav tiesiskās noteiktības par speciālajām atļaujām (licencēm), kas tiks izsniegtas vai pārreģistrētas </w:t>
            </w:r>
            <w:r w:rsidR="00000000" w:rsidRPr="00000000" w:rsidDel="00000000">
              <w:rPr>
                <w:u w:val="single"/>
                <w:rtl w:val="0"/>
              </w:rPr>
              <w:t xml:space="preserve">no š.g. 1. oktobra līdz grozījumu noteikumos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ir vai nu precizējama 51.punkta redakcija, vai arī nosakāms spēkā stāšanās datums noteikumu grozījumiem kopumā vai konkrētiem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Ne vēlāk kā divus mēnešus pirms speciālajā atļaujā (licencē) norādītā derīguma termiņa beigām parāda atgūšanas pakalpojuma sniedzējs iesniedz Patērētāju tiesību aizsardzības centrā iesniegumu brīvā formā par speciālās atļaujas (licences) izsniegšanu uz nenoteiktu laiku. Šādā gadījumā valsts nodeva nav jāmaksā. Iesniegumam pievieno šo noteikumu 10. punktā minētās ziņas un dokumentus, ja tajos norādītā informācija ir mainījusies vai beidzies dokumenta derīguma termiņš un šī informācija nav paziņota Patērētāju tiesību aizsardzības centram saskaņā ar šo noteikumu 31.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jo šobrīd nav skaidrs, vai ar minēto - "Šādā gadījumā valsts nodeva nav jāmaksā." - ir domāta valsts nodeva par speciālās atļaujas (licences) izsniegšanu vai valsts nodeva par parāda atgūšanas pakalpojumu sniedzēja darbības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Ikgadējo valsts nodevu par parāda atgūšanas pakalpojuma sniedzēja darbības uzraudzību maksā parāda atgūšanas pakalpojuma sniedzējs, kuram speciālā atļauja (licence) izsniegta vai pārreģistrēta līdz 2024.gada 1.oktobrim, pirmo reizi, iesniedzot iesniegumu un veicot ikgadējās valsts nodevas samaksu 53.punktā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normas uztveramību, lūdzam precizēt 54.punkta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redakcijas izriet:</w:t>
            </w:r>
            <w:r w:rsidR="00000000" w:rsidRPr="00000000" w:rsidDel="00000000">
              <w:rPr>
                <w:i w:val="1"/>
                <w:rtl w:val="0"/>
              </w:rPr>
              <w:t xml:space="preserve"> Ikgadējo valsts nodevu </w:t>
            </w:r>
            <w:r w:rsidR="00000000" w:rsidRPr="00000000" w:rsidDel="00000000">
              <w:rPr>
                <w:i w:val="1"/>
                <w:u w:val="single"/>
                <w:rtl w:val="0"/>
              </w:rPr>
              <w:t xml:space="preserve">maksā pirmo reizi,</w:t>
            </w:r>
            <w:r w:rsidR="00000000" w:rsidRPr="00000000" w:rsidDel="00000000">
              <w:rPr>
                <w:i w:val="1"/>
                <w:rtl w:val="0"/>
              </w:rPr>
              <w:t xml:space="preserve"> iesniedzot iesniegumu un </w:t>
            </w:r>
            <w:r w:rsidR="00000000" w:rsidRPr="00000000" w:rsidDel="00000000">
              <w:rPr>
                <w:i w:val="1"/>
                <w:u w:val="single"/>
                <w:rtl w:val="0"/>
              </w:rPr>
              <w:t xml:space="preserve">veicot ikgadējās valsts nodevas samaksu</w:t>
            </w:r>
            <w:r w:rsidR="00000000" w:rsidRPr="00000000" w:rsidDel="00000000">
              <w:rPr>
                <w:i w:val="1"/>
                <w:rtl w:val="0"/>
              </w:rPr>
              <w:t xml:space="preserve"> 53.punktā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Pentjuša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2., 4 un 6.ailē norādīt likumā “Par valsts budžetu 2024. gadam un budžeta ietvaru 2024., 2025. un 2026. gadam” ieplānoto attiecīgo valsts nodevu ieņēmumu apmēru, 5.1.apakšpunktā atspoguļot precizēto finansiālo ietekmi un šobrīd punktā “Cita informācija” sniegto informāciju pārcelt uz 6.1.apakšpunktu.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24-TA-1914</w:t>
    </w:r>
    <w:r>
      <w:br/>
    </w:r>
    <w:r w:rsidR="00000000" w:rsidRPr="00000000" w:rsidDel="00000000">
      <w:rPr>
        <w:rtl w:val="0"/>
      </w:rPr>
      <w:t xml:space="preserve">Izdrukāts 05.11.2024.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24-TA-1914</w:t>
    </w:r>
    <w:r>
      <w:br/>
    </w:r>
    <w:r w:rsidR="00000000" w:rsidRPr="00000000" w:rsidDel="00000000">
      <w:rPr>
        <w:rtl w:val="0"/>
      </w:rPr>
      <w:t xml:space="preserve">Izdrukāts 05.11.2024.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Atzinumi_24-TA-1914.docx</dc:title>
</cp:coreProperties>
</file>

<file path=docProps/custom.xml><?xml version="1.0" encoding="utf-8"?>
<Properties xmlns="http://schemas.openxmlformats.org/officeDocument/2006/custom-properties" xmlns:vt="http://schemas.openxmlformats.org/officeDocument/2006/docPropsVTypes"/>
</file>