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Objekta atbilstību III kategorijas patvertnes prasībām nodrošina, izpildot vismaz šādas funkcionālās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14. punktu, kurā noteiktas III kategorijas patvertnes minimālās prasības, secinām, ka tajā nav iekļautas vairākas būtiskas prasības, kas paredzētas Valsts ugunsdzēsības un glābšanas dienesta izstrādātajās Vadlīnijās par minimālajām prasībām III kategorijas patvertnes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vadlīnijām un iedzīvotāju drošību, lūdzam izvērtēt iespēju noteikumu projektu papildināt ar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Dzeramā ūdens nodrošinājums: Patvertnē jāparedz piekļuve dzeramajam ūdenim, ievērojot higiēnas un sanitārās prasības (piemēram, ūdensvads, tvertnes, pudeles u.c.), vai jānosaka kārtība, kā to nodrošināt 24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Sanitārie un higiēnas apstākļi: Jānosaka konkrēti kritēriji – piemēram, viens labierīcību risinājums uz 40 cilvēkiem. Labierīcībām jābūt viegli kopjamām, neparedzot ārēju pakalpojumu izmantošanu (piemēram, asenizatoru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Cilvēkietilpības aprēķins: Vadlīnijās noteikts, ka patvertnes ietilpība aprēķināma, paredzot vismaz 0,75 m² uz vienu personu. Noteikumu projektā šī prasība nav iekļauta, taču tā ir būtiska drošības un plānošanas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Telpu piemērotība: Vadlīnijās norādīts, ka patvertnes platība nedrīkst būt mazāka par 20 m², un tās nedrīkst atrasties vietās ar pilsētas maģistrālajām inženierkomunikācijām vai apkures katliem. Šie aspekti projektā nav ietverti.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aizsardzības pasākumi: Vadlīnijās rekomendēts nodrošināt griestu papildu balstus, lai novērstu iegruvuma risku. Noteikumu projektā šāda prasība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projektu, iekļaujot iepriekš minētās prasības vai sniedzot skaidrojumu, kā šie aspekti tiks ņemti vērā piemērošanas praksē, lai nodrošinātu skaidrību, tiesisko noteiktību un pilnīgu atbilstību Valsts ugunsdzēsības un glābšanas dienesta izstrādātajām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24.03.2025.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24.03.2025.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Atzinumi_25-TA-640.docx</dc:title>
</cp:coreProperties>
</file>

<file path=docProps/custom.xml><?xml version="1.0" encoding="utf-8"?>
<Properties xmlns="http://schemas.openxmlformats.org/officeDocument/2006/custom-properties" xmlns:vt="http://schemas.openxmlformats.org/officeDocument/2006/docPropsVTypes"/>
</file>