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izteikt Elektroenerģijas tirgus likuma 1.panta otro daļu jaunā redakcijā un minētās daļas 34.punkts paredz noteikt definīciju mājsaimniecības lietotājam, lūgums saskaņot šajā punkta lietotās elektroenerģijas sprieguma un strāvas stipruma vienības un apzīmējumus ar šā likumā 30.</w:t>
            </w:r>
            <w:r w:rsidR="00000000" w:rsidRPr="00000000" w:rsidDel="00000000">
              <w:rPr>
                <w:vertAlign w:val="superscript"/>
                <w:rtl w:val="0"/>
              </w:rPr>
              <w:t xml:space="preserve">1</w:t>
            </w:r>
            <w:r w:rsidR="00000000" w:rsidRPr="00000000" w:rsidDel="00000000">
              <w:rPr>
                <w:rtl w:val="0"/>
              </w:rPr>
              <w:t xml:space="preserve"> panta otrajā daļā lietotajām vienībām. Ņemot vērā minēto, papildus aicinām veikt precizējumus arī likuma 9.panta 2.</w:t>
            </w:r>
            <w:r w:rsidR="00000000" w:rsidRPr="00000000" w:rsidDel="00000000">
              <w:rPr>
                <w:vertAlign w:val="superscript"/>
                <w:rtl w:val="0"/>
              </w:rPr>
              <w:t xml:space="preserve">1</w:t>
            </w:r>
            <w:r w:rsidR="00000000" w:rsidRPr="00000000" w:rsidDel="00000000">
              <w:rPr>
                <w:rtl w:val="0"/>
              </w:rPr>
              <w:t xml:space="preserve"> daļā, skaitli un vārdu "400 voltus" aizstājot ar skaitli un vārdu "0,4 kilovoltus"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mājsaimniecības lietotājs – elektroenerģijas galalietotājs, fiziska persona, kurš elektroenerģijas sistēmas pakalpojumus saņem izmantojot sistēmas pieslēgumu ar spriegumu līdz 0,4 kilovoltiem un ievadaizsardzības aparāta nominālās strāvas lielumu līdz 100 </w:t>
            </w:r>
            <w:r w:rsidR="00000000" w:rsidRPr="00000000" w:rsidDel="00000000">
              <w:rPr>
                <w:b w:val="1"/>
                <w:rtl w:val="0"/>
              </w:rPr>
              <w:t xml:space="preserve">ampēriem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30.</w:t>
            </w:r>
            <w:r w:rsidR="00000000" w:rsidRPr="00000000" w:rsidDel="00000000">
              <w:rPr>
                <w:u w:val="single"/>
                <w:vertAlign w:val="superscript"/>
                <w:rtl w:val="0"/>
              </w:rPr>
              <w:t xml:space="preserve">1</w:t>
            </w:r>
            <w:r w:rsidR="00000000" w:rsidRPr="00000000" w:rsidDel="00000000">
              <w:rPr>
                <w:u w:val="single"/>
                <w:rtl w:val="0"/>
              </w:rPr>
              <w:t xml:space="preserve"> panta otrā daļas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Objektam, kurā mājsaimniecības lietotājs ražo elektroenerģiju patērēšanai paša vajadzībām (galapatēriņam), izmantojot mājsaimniecībā uzstādītas elektroenerģijas ražošanas iekārtas ar darba spriegumu, kas nepārsniedz </w:t>
            </w:r>
            <w:r w:rsidR="00000000" w:rsidRPr="00000000" w:rsidDel="00000000">
              <w:rPr>
                <w:b w:val="1"/>
                <w:rtl w:val="0"/>
              </w:rPr>
              <w:t xml:space="preserve">0,4 kilovoltus</w:t>
            </w:r>
            <w:r w:rsidR="00000000" w:rsidRPr="00000000" w:rsidDel="00000000">
              <w:rPr>
                <w:rtl w:val="0"/>
              </w:rPr>
              <w:t xml:space="preserve">, un kopējo darba strāvu, kas vienfāzes vai trīsfāžu pieslēgumā nepārsniedz 16 ampērus, ir tiesības norēķinos par sistēmā nodoto un no sistēmas saņemto elektroenerģiju attiecīgajā objektā izmantot elektroenerģijas neto uzskaites sistēmu, ja ir ievēroti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deleģēt Būvniecības valsts kontroles birojam jaunu funkciju - izsniegt atļaujas tiešo līniju izbūvei. Funkcija tiks nodrošināta Ekonomikas ministrijai (Būvniecības valsts kontroles birojam)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24.05.2024.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24.05.2024.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