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22-TA-3345: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otrās kārtas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Investīcijas otrās kārtas mērķa grupa ir pensijas vecuma personas.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rosinām paplašināt investīcijas mērķa grupu, tajā iekļaujot pensijas vecumu nesasniegušas personas ar funkcionāliem traucējumiem, proti, saskaņot šo punktu ar Sociālo pakalpojumu un sociālās palīdzības likuma 28.panta 1.daļas 2.punktu.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izteikt 4.punktu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Investīcijas otrās kārtas mērķa grupa ir pensijas vecuma personām un personām ar funkcionāliem traucējumiem, ja nepieciešamais pakalpojuma apjoms pārsniedz aprūpei mājās vai dienas aprūpes un sociālās rehabilitācijas institūcijā noteikto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Iespējams, attiecīgi būtu jāmaina arī normatīvā akta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Šo noteikumu </w:t>
            </w:r>
            <w:r w:rsidR="00000000" w:rsidRPr="00000000" w:rsidDel="00000000">
              <w:rPr>
                <w:rtl w:val="0"/>
              </w:rPr>
              <w:t xml:space="preserve">29. </w:t>
            </w:r>
            <w:r w:rsidR="00000000" w:rsidRPr="00000000" w:rsidDel="00000000">
              <w:rPr>
                <w:rtl w:val="0"/>
              </w:rPr>
              <w:t xml:space="preserve">punktā</w:t>
            </w:r>
            <w:r w:rsidR="00000000" w:rsidRPr="00000000" w:rsidDel="00000000">
              <w:rPr>
                <w:rtl w:val="0"/>
              </w:rPr>
              <w:t xml:space="preserve"> noteikto atbalstāmo darbību īstenošanai vienas ēkas izveidei Atveseļošanas fonda finansējums nepārsniedz 1 273 204 </w:t>
            </w:r>
            <w:r w:rsidR="00000000" w:rsidRPr="00000000" w:rsidDel="00000000">
              <w:rPr>
                <w:i w:val="1"/>
                <w:rtl w:val="0"/>
              </w:rPr>
              <w:t xml:space="preserve">euro</w:t>
            </w:r>
            <w:r w:rsidR="00000000" w:rsidRPr="00000000" w:rsidDel="00000000">
              <w:rPr>
                <w:rtl w:val="0"/>
              </w:rPr>
              <w:t xml:space="preserve">. Pievienotās vērtības nodokļa izmaksas un izmaksas investīcijas otrās kārtas projekta atbalstāmo darbību īstenošanai, ja tās pārsniedz investīcijas otrās kārtas projektam pieejamo Atveseļošanas fonda finansējumu, sedz no finansējuma saņēmēja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arī par: [..]</w:t>
            </w:r>
            <w:r w:rsidR="00000000" w:rsidRPr="00000000" w:rsidDel="00000000">
              <w:rPr>
                <w:i w:val="1"/>
                <w:rtl w:val="0"/>
              </w:rPr>
              <w:t xml:space="preserve">38. Īstenojot šo noteikumu 29. punktā minētās atbalstāmās darbības, finansējuma saņēmējs pats vai īstenojot iepirkumu līgumus, ievēro šādus nosacījumus:</w:t>
            </w:r>
            <w:r w:rsidR="00000000" w:rsidRPr="00000000" w:rsidDel="00000000">
              <w:rPr>
                <w:i w:val="1"/>
                <w:rtl w:val="0"/>
              </w:rPr>
              <w:t xml:space="preserve">38.1. šo noteikumu 29.1., 29.2. un 29.4. apakšpunktā minētās atbalstāmās darbības īstenošanai izmanto investīcijas pirmās kārtas ietvaros izveidoto tipveida būvprojektu ģimeniskai videi pietuvinātā pakalpojuma izveidei un ievēro šo noteikumu 28.8. apakšpunktā minētos ģimeniskai videi pietuvinātu pakalpojumu nodrošināšanas principus;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šobrīd vienas ēkas uzbūves, ieskaitot teritorijas labiekārtošanu, projekta pielāgošanu un aprīkojuma iegādi, potenciālās izmaksas ir 2 485,41 EUR/m2 bez pievienotās vērtības nodokļa (turpmāk – PVN), plānotais atbalsts – 1948,58 EUR/m2 bez PVN. Rezultatīvi vienas ēkas uzbūvei nepieciešams pašvaldības līdzfinansējums 42,6% apmērā (starpība 21,6 % apmērā un PVN).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 ieskatā pastāv risks, ka pašvaldības nerealizēs investīcijas ietvaros plānotos projektus un līdz ar to sociālās atstumtības riskam pakļautajiem iedzīvotājiem, kuriem ir ierobežoti finanšu resursi, tiks samazinātas pieejas iespējas būtiski nepieciešamiem sociālajiem un nodarbinātības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iebilstam par plānoto Atveseļošanas fonda finansējuma apjomu (1 273 204  EUR) vienai ēkai. Rosinām to palielināt atbilstoši esošajai tirgus situācijai būvniecības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lai sasniegtu noteiktos rādītājus, atkārtoti aicinām ļaut pašvaldībai individuāli izstrādāt būvprojektu gadījumos, kad pirmās kārtas ietvaros izveidotais tipveida būvprojekta risinājums nav pielāgojams pašvaldības vajadzībām, t. sk. pieejamā zemes gabala konfigurācijai.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otrās kārtas īstenošanas un uzraudzības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LLPA informē par Rīgas valstspilsētas viedokli: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anotācijā sniegto informāciju (sadaļa “Mērķrādītāji”) katram pensionāram vai pārim ir jānodrošina individuāla guļamistaba un sanitārais mezgls, savukārt 3.4. kritērijā “Veidojamā sociālā pakalpojuma sniegšanas vieta  plānota atbilstoši ģimenes mājas principiem (klientiem ir pieejama dzīvojamā istaba un virtuve, kur uzturas visi, tai skaitā darbinieks ar specifiskiem uzdevumiem, vienlaikus katram klientam ir arī sava personiskā telpa (guļamistaba)).” ir minēts, ka jānodrošina tikai personiskā telpa guļamistaba. Ņemot vērā minēto, lai novērstu interpretācijas iespējas, lūdzam salāgot dokumentos savstarpēji sniegto informāciju. Papildus minētajam 2.pielikumā “Ģimeniskai videi pietuvinātu aprūpes pakalpojumu sniegšanai uzbūvēto ēku minimālais aprīkojuma saraksts” nav definētas sanitārā mezgla minimālās prasības. Papildus minētajam, lūdzam anotācijā skaidrot, kuras no 2.pielikumā minēto telpu veidiem ir obligāti jānodrošina izveidojamajā sociālajā ēkā, kā arī sniegt skaidrojumu, kuras no šīm telpām ir koplietojamas, piemēram, priekšnams.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36.1.1. finansējuma saņēmējs sagatavo pieprasījumu avansa maksājumam, kurā pamato avansa maksājuma nepieciešamību un apmēru. Avansa maksājuma apmērs nevar pārsniegt 30 procentus no projektam pieejamā Atveseļošanas fonda finansējuma apmēra un tas ir jāizmanto sešu mēnešu laikā no tā saņemšanas dienas saimnieciskā gada ietvaros. Avansa izmantošanas termiņu var pagarināt, iesniedzot aģentūrai pamatojumu termiņa pagarināšanai;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LLPA saskaņo šo TAP punktu, vienlaikus informē par Rīgas valstspilsētas viedokli: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augstas inflācijas apstākļos un divu apjomīgo vienlaikus ieviešamo investīciju fondu (t.i., AF un Kohēzijas politikas programma 2021. -2027.gadam) rezultātā pašvaldībām ir ierobežoti brīvi pašu līdzekļi. Pašvaldības investīciju fondu projektu līdzfinansējuma nodrošināšanai piesaista Valsts kases aizdevumus ar salīdzinoši augstām kredītprocenta likmēm, kas sadārdzina projekta ieviešanu. Līdz ar to, lai mazinātu slogu gan uz pašvaldības aizņemšanās iespējām, gan uz valsts budžetu, no kura tiek finansēti pašvaldības aizņēmumi Valsts kasē, aicinām 36.1.1. punktā noteikt avansa maksājuma kopsummu 50 procentus no projekta Atveseļošanas fonda un valsts budžeta finansējuma kopējā apmēra.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Finanšu ministrijai likumprojekta par valsts budžetu 2024. gadam un budžeta ietvaru 2024., 2025. un 2026. gadam izstrādes laikā paredzēt pašvaldībām iespēju saņemt aizņēmumu 3.1.2.3.i. investīcijas otrās kārtas projekta īstenošanai, nosakot, ka aizņēmuma apmērs nepārsniedz projekta Atveseļošanas fonda finansējuma kopsummu, pievienotās vērtības nodokļa izmaksas un papildu  pašvaldības izmaksas līdz 10 procentiem no projekta Atveseļošanas fonda finansējuma, un attiecīgi palielināt ikgadējo pašvaldību kopējo aizņēmumu limitu.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LLPA saskaņo šo TAP punktu, vienlaikus informē par Rīgas valstspilsētas viedokli: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Labklājības ministrijas uzmanību, ka vienas sociālās ēkas būvniecības izmaksas šīs dienas cenas ir aptuveni 2,7 milj. euro (ar PVN). Atbilstoši pašreizējiem 3.1.2.3.i. investīcijas "Ilgstošas sociālās aprūpes pakalpojuma noturība un nepārtrauktība: jaunu ģimeniskai videi pietuvinātu aprūpes pakalpojumu sniedzēju attīstība pensijas vecuma personām" otrās kārtas īstenošanas nosacījumiem AF finansējums ir vien 1,27 milj. euro. Tādējādi pašvaldībai ir jārod līdzfinansējums aptuveni 50% vienas ēkas būvniecībai. Ņemot vēra, ka šobrīd augstas inflācijas apstākļos un divu apjomīgo vienlaikus ieviešamo investīciju fondu (t.i., AF un Kohēzijas politikas programma 2021. -2027.gadam) rezultātā pašvaldībām ir ierobežoti brīvi pašu līdzekļi. Aicinām MK protokollēmumā paredzēt, ka projekta īstenošanai pašvaldība var aizņemties līdz 50% no projekta Atveseļošanās fonda finansējuma. Minētais veicinās arī sekmīgu šī pasākuma rādītāju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22-TA-3345</w:t>
    </w:r>
    <w:r>
      <w:br/>
    </w:r>
    <w:r w:rsidR="00000000" w:rsidRPr="00000000" w:rsidDel="00000000">
      <w:rPr>
        <w:rtl w:val="0"/>
      </w:rPr>
      <w:t xml:space="preserve">Izdrukāts 19.04.2023. 14.10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22-TA-3345</w:t>
    </w:r>
    <w:r>
      <w:br/>
    </w:r>
    <w:r w:rsidR="00000000" w:rsidRPr="00000000" w:rsidDel="00000000">
      <w:rPr>
        <w:rtl w:val="0"/>
      </w:rPr>
      <w:t xml:space="preserve">Izdrukāts 19.04.2023. 14.10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Atzinumi_22-TA-3345.docx</dc:title>
</cp:coreProperties>
</file>

<file path=docProps/custom.xml><?xml version="1.0" encoding="utf-8"?>
<Properties xmlns="http://schemas.openxmlformats.org/officeDocument/2006/custom-properties" xmlns:vt="http://schemas.openxmlformats.org/officeDocument/2006/docPropsVTypes"/>
</file>