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vārds "darījums" var aptvert plašu darījumu veidu loku, lūdzam izvērtēt nepieciešamību papildināt pantu ar precīzāku norādi vai tiesību norma attiecināma uz visa veida darījumiem, vai arī aizliegums ir attiecināms uz konkrētiem darījumiem, piemēram,  atsavināšanu, dāvināšanu, maiņu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paredzēts noteikt,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detalizētāku darījumu uzskaitījumu, lai ikvienam subjektam, kas lasīs anotāciju būtu nepārprotami skaidrs, kādi darījumi ir aizliegti. Piemēram, vai būs aizliegts dzīvokļa īpašumu  izīrēt vai nedzīvojamās telpas iznomāt, slēgt līgumus par dzīvokļa īpašuma apsaimniekošanu un vienoties par cita vieda darījumiem attiecībā uz dzīvokli, mākslinieka darbnīcu vai neapdzīvojamo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kuras institūcijas kompetencē un kurā brīdī tiks kontrolēts, ka ir noticis darījums, kas ir bijis aizliegts un kādā veidā tālāk tiks risināts jautājums, ja minētais tiks konstatēts.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lūdzam norādīt, ka likumprojekta izpildē iesaistītās institūcijas likumprojektā iekļautos pasākumus nodrošinās sava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7.1.sadaļā norādīt Valsts zemes dienestu kā projekta izpildē iesaistīto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19.04.2023.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19.04.2023.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Atzinumi_23-TA-695.docx</dc:title>
</cp:coreProperties>
</file>

<file path=docProps/custom.xml><?xml version="1.0" encoding="utf-8"?>
<Properties xmlns="http://schemas.openxmlformats.org/officeDocument/2006/custom-properties" xmlns:vt="http://schemas.openxmlformats.org/officeDocument/2006/docPropsVTypes"/>
</file>