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(Izziņa-iesūtītie iebildumi ārpus TAP)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precizēt kontekstu atsaucei uz Enerģētikas likuma 19.panta sesto daļu, ņemot vērā, ka konkrētajā tiesību normā noteiktā saskaņošanas procedūru attiecas uz tādām daudzdzīvokļu dzīvojamām mājām, kuras ir sadalītas dzīvokļu īpašumos. Tātad pretēji anotācijā apgalvotajam, ka tā attiecas uz dzīvojamām mājām, kuras nav sadalītas dzīvokļu īpašumos (tā saucamās kopīpašuma mājas).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