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Dzeramā ūdens obligātās nekaitīguma un kvalitātes prasības, monitoringa un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Dzeramā ūdens obligātās nekaitīguma un kvalitātes prasības, monitoringa un kontroles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izvērtējusi, ka jautājumu par pašvaldībām nepieciešamajiem finanšu resursiem un investīcijām ūdensapgādes un kanalizācijas sistēmām būs iespējams risināt, izmantojot Eiropas Savienības fondu līdzekļus. Tādēļ nepieciešams savlaicīgi apzināt investīciju vajadzības un plānot ieguldījumus uz to brīdi, kad sāksies 2028.-2035.gada ES finanšu perioda plānošana (kas indikatīvi varētu būt ap 2026.gadu). Minētie pasākumi būtu iekļaujami nākamā perioda ūdensapgādes investīciju plānā. LPS vērš uzmanību uz to, ka nav skaidrs, vai ūdensapgādes jautājumu finansēšanai vispār būs pieejami ES fondu līdzekļi, kā arī to, ka jebkurā gadījumā visu ūdensapgādes un kanalizācijas sistēmu izbūves un rekonstrukciju darbu veikšanai nepieciešamo līdzekļu apjoms ES fondu ietvarā būs nepietiekams. Tieši tādēļ nepieciešams izstrādāt Informatīvo ziņojumu, lai, pieņemot normatīvo aktu, būtu skaidrs kaut aptuveni tā ieviešanai nepieciešamo finanšu līdzekļu apjoms un finansējuma avoti, kā arī politiskā apņemšanās attiecīgos līdzekļus paredzēt dzeramā ūdens obligāto nekaitīguma, kvalitātes prasību, monitoringa un kontroles kārtības ieviešanai.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1.2.2.apakšpunktā noteiktos pienākumus ūdens piegādātājs veic no 2024.gada 1.janvāra.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reāli izpildāmu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23.08.2023.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23.08.2023.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Atzinumi_22-TA-2538.docx</dc:title>
</cp:coreProperties>
</file>

<file path=docProps/custom.xml><?xml version="1.0" encoding="utf-8"?>
<Properties xmlns="http://schemas.openxmlformats.org/officeDocument/2006/custom-properties" xmlns:vt="http://schemas.openxmlformats.org/officeDocument/2006/docPropsVTypes"/>
</file>