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Ekonomikas ministrijas izstrādāto noteikumu projektu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 (turpmāk – Noteikumu projektu) un aicina</w:t>
            </w:r>
            <w:r w:rsidR="00000000" w:rsidRPr="00000000" w:rsidDel="00000000">
              <w:rPr>
                <w:b w:val="1"/>
                <w:rtl w:val="0"/>
              </w:rPr>
              <w:t xml:space="preserve"> nodrošināt finansējuma pieejamību procesu digitalizācijai arī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norāda, ka </w:t>
            </w:r>
            <w:r w:rsidR="00000000" w:rsidRPr="00000000" w:rsidDel="00000000">
              <w:rPr>
                <w:b w:val="1"/>
                <w:rtl w:val="0"/>
              </w:rPr>
              <w:t xml:space="preserve">Eiropas Savienības tiesību aktu, tostarp Atveseļošanās un noturības mehānisma regulas</w:t>
            </w:r>
            <w:r w:rsidR="00000000" w:rsidRPr="00000000" w:rsidDel="00000000">
              <w:rPr>
                <w:b w:val="1"/>
                <w:vertAlign w:val="superscript"/>
                <w:rtl w:val="0"/>
              </w:rPr>
              <w:t xml:space="preserve">[1] </w:t>
            </w:r>
            <w:r w:rsidR="00000000" w:rsidRPr="00000000" w:rsidDel="00000000">
              <w:rPr>
                <w:b w:val="1"/>
                <w:rtl w:val="0"/>
              </w:rPr>
              <w:t xml:space="preserve">tvērumā uzņēmums (angļu valodā - enterprise) tiek definēts kā jebkurš saimnieciskās darbības veicējs, neatkarīgi no tā juridiskās formas</w:t>
            </w:r>
            <w:r w:rsidR="00000000" w:rsidRPr="00000000" w:rsidDel="00000000">
              <w:rPr>
                <w:vertAlign w:val="superscript"/>
                <w:rtl w:val="0"/>
              </w:rPr>
              <w:t xml:space="preserve">[2]</w:t>
            </w:r>
            <w:r w:rsidR="00000000" w:rsidRPr="00000000" w:rsidDel="00000000">
              <w:rPr>
                <w:rtl w:val="0"/>
              </w:rPr>
              <w:t xml:space="preserve">. Tādēļ aicinām turpmāk ANM plāna investīcijās, tostarp šajā Noteikumu projektā paredzēt iespēju arī biedrībām un nodibinājumiem (turpmāk - BN) kā pilntiesīgiem tautsaimniecības dalībniekiem pretendēt uz ANM plāna investīciju pasākumiem procesu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Konkrētāk, aicinām Noteikumu projektā paredzēt punktu “Svītrot 20.4. apakšpunktu.”</w:t>
            </w:r>
            <w:r w:rsidR="00000000" w:rsidRPr="00000000" w:rsidDel="00000000">
              <w:rPr>
                <w:rtl w:val="0"/>
              </w:rPr>
              <w:t xml:space="preserve"> Vēršam uzmanību, ka 2.3.1.2.i. investīcijas "Uzņēmumu digitālo prasmju attīstība" 20.4.apakšpunkts “kopējais Latvijā reģistrēto biedrības biedru un to biedru apgrozījums pēdējā noslēgtajā pārskata gadā pārsniedz 142 miljonus euro” pēc būtības ir ierobežojošs, jo tas nepamatoti izslēdz no iespējām pretendēt uz investīcijām tās BN, kuru apgrozījums nesasniedz šo salīdzinoši augsto slieksni. Tas rada nevienlīdzīgu situāciju starp dažāda mēroga organizācijām, īpaši mazākām BN, kam nav tik plašu finanšu resursu, bet kuras varētu būtiski veicināt projektu mērķu sasniegšanu. Vēršam uzmanību, ka subjektu loka paplašināšana varētu palīdzēt nodrošināt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aicinām Noteikumu projektā veikt grozījumus, kas paredzētu, ka </w:t>
            </w:r>
            <w:r w:rsidR="00000000" w:rsidRPr="00000000" w:rsidDel="00000000">
              <w:rPr>
                <w:b w:val="1"/>
                <w:rtl w:val="0"/>
              </w:rPr>
              <w:t xml:space="preserve">investīcijas gala labuma guvēji būtu ne tikai Latvijas Republikā reģistrēti sīkie (mikro), mazie, vidējie un lielie komersanti, bet arī Latvijas Republikā reģistrētās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sniedz šo priekšlikumu, atsaucoties uz 2024.gada 9.decembra saskaņošanas sanāksmi, kurā piedalījās Ekonomikas ministrijas, Finanšu ministrijas un LPA pārstāvji un tika nolemts, ka “Saskaņā ar 09.12.2024. sanāksmē panākto vienošanos Ekonomikas ministrija izvērtēs iespēju Eiropas Savienības Atveseļošanas un noturības mehānisma plāna 2. komponentes "Digitālā transformācija" 2.3. reformu un investīciju virziena "Digitālās prasmes" 2.3.1.2.i. investīcijas "Uzņēmumu digitālo prasmju attīstība" īstenošanas noteikumu ietvaros veikt grozījumus, lai varētu sniegt atbalstu biedrībām un nodibinājumiem, kas veic saimniecisko darbību”</w:t>
            </w:r>
            <w:r w:rsidR="00000000" w:rsidRPr="00000000" w:rsidDel="00000000">
              <w:rPr>
                <w:vertAlign w:val="superscript"/>
                <w:rtl w:val="0"/>
              </w:rPr>
              <w:t xml:space="preserve">[3]</w:t>
            </w:r>
            <w:r w:rsidR="00000000" w:rsidRPr="00000000" w:rsidDel="00000000">
              <w:rPr>
                <w:rtl w:val="0"/>
              </w:rPr>
              <w:t xml:space="preserve">. Ņemot vērā šo lēmumu un Noteikumu projekta anotācijā minēto, ka investīcijas ietvaros pāri palicis neapgūts finansējums,  aicinām Ekonomikas ministriju paplašināt investīcijas subjektu loku un nodrošināt finansējuma pieejamību procesu digitalizācijai arī BN.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ANM plāna investīcijās iekļautie digitalizācijas procesi attiecas arī uz BN – gan kā pašiem tautsaimniecības dalībniekiem, kuriem jāpielāgojas mainīgajiem apstākļiem, tai skaitā digitalizējot to sniegtos pakalpojumus un radot inovatīvu risinājumus, gan arī, kā uz darba tirgus dalībniekiem. Turklāt šobrīd BN, kas darbojas pilsoniskās sabiedrības labā, nav pieejams nekāda veida publiskais finansējums, kas ļautu digitalizēt iekšējos procesus un pakalpojumus mērķa grupām, tai skaitā mazāk aizsargātajam.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2021/241 (2021. gada 12. februāris), ar ko izveido Atveseļošanas un noturības mehānismu Regula - 2021/241 - EN - EUR-Lex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2003. gada 6. maija rekomendācija par mikro, mazo un vidējo uzņēmumu definīciju (izziņots ar dokumenta numuru K(2003) 1422) EUR-Lex - 32003H0361 - EN - EUR-Lex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“Par Latvijas Atveseļošanas un noturības mehānisma plāna otro papildinājumu” viedokļu apkopojums https://tapportals.mk.gov.lv/public_participation/7d32b66e-46bc-469d-9d87-d8fd760f2b5c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paredzēt punktu “Svītrot 20.4.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aicinām Noteikumu projektā veikt grozījumus, kas paredzētu, ka investīcijas gala labuma guvēji būtu ne tikai Latvijas Republikā reģistrēti sīkie (mikro), mazie, vidējie un lielie komersanti, bet arī Latvijas Republikā reģistrētās biedrības un nodibinājumi.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24-TA-2284</w:t>
    </w:r>
    <w:r>
      <w:br/>
    </w:r>
    <w:r w:rsidR="00000000" w:rsidRPr="00000000" w:rsidDel="00000000">
      <w:rPr>
        <w:rtl w:val="0"/>
      </w:rPr>
      <w:t xml:space="preserve">Izdrukāts 23.01.2025.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24-TA-2284</w:t>
    </w:r>
    <w:r>
      <w:br/>
    </w:r>
    <w:r w:rsidR="00000000" w:rsidRPr="00000000" w:rsidDel="00000000">
      <w:rPr>
        <w:rtl w:val="0"/>
      </w:rPr>
      <w:t xml:space="preserve">Izdrukāts 23.01.2025.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Atzinumi_24-TA-2284.docx</dc:title>
</cp:coreProperties>
</file>

<file path=docProps/custom.xml><?xml version="1.0" encoding="utf-8"?>
<Properties xmlns="http://schemas.openxmlformats.org/officeDocument/2006/custom-properties" xmlns:vt="http://schemas.openxmlformats.org/officeDocument/2006/docPropsVTypes"/>
</file>