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CE7EF" w14:textId="395AC869" w:rsidR="002353F3" w:rsidRPr="00F23179" w:rsidRDefault="002353F3" w:rsidP="002353F3">
      <w:pPr>
        <w:pStyle w:val="Caption"/>
        <w:rPr>
          <w:sz w:val="36"/>
          <w:szCs w:val="36"/>
        </w:rPr>
      </w:pPr>
      <w:r w:rsidRPr="00F23179">
        <w:rPr>
          <w:sz w:val="36"/>
          <w:szCs w:val="36"/>
        </w:rPr>
        <w:t>SIA „</w:t>
      </w:r>
      <w:r w:rsidR="00403326" w:rsidRPr="00F23179">
        <w:rPr>
          <w:sz w:val="36"/>
          <w:szCs w:val="36"/>
        </w:rPr>
        <w:t>Rīgas namu pārvaldnieks</w:t>
      </w:r>
      <w:r w:rsidRPr="00F23179">
        <w:rPr>
          <w:sz w:val="36"/>
          <w:szCs w:val="36"/>
        </w:rPr>
        <w:t>”</w:t>
      </w:r>
    </w:p>
    <w:p w14:paraId="27AA92AB" w14:textId="4C170339" w:rsidR="002353F3" w:rsidRPr="00F23179" w:rsidRDefault="00562651" w:rsidP="002353F3">
      <w:pPr>
        <w:tabs>
          <w:tab w:val="left" w:pos="3960"/>
        </w:tabs>
        <w:jc w:val="center"/>
        <w:rPr>
          <w:sz w:val="22"/>
          <w:szCs w:val="22"/>
        </w:rPr>
      </w:pPr>
      <w:r w:rsidRPr="00F23179">
        <w:rPr>
          <w:sz w:val="22"/>
          <w:szCs w:val="22"/>
        </w:rPr>
        <w:t>r</w:t>
      </w:r>
      <w:r w:rsidR="002353F3" w:rsidRPr="00F23179">
        <w:rPr>
          <w:sz w:val="22"/>
          <w:szCs w:val="22"/>
        </w:rPr>
        <w:t xml:space="preserve">eģistrācijas Nr.40103362321, </w:t>
      </w:r>
      <w:r w:rsidR="003A3B9E" w:rsidRPr="00F23179">
        <w:rPr>
          <w:sz w:val="22"/>
          <w:szCs w:val="22"/>
        </w:rPr>
        <w:t xml:space="preserve">juridiskā adrese </w:t>
      </w:r>
      <w:r w:rsidR="002353F3" w:rsidRPr="00F23179">
        <w:rPr>
          <w:sz w:val="22"/>
          <w:szCs w:val="22"/>
        </w:rPr>
        <w:t xml:space="preserve">Aleksandra Čaka iela 42, Rīga, LV-1011 </w:t>
      </w:r>
    </w:p>
    <w:p w14:paraId="55C9719A" w14:textId="7CEAEE96" w:rsidR="002353F3" w:rsidRPr="00F23179" w:rsidRDefault="002353F3" w:rsidP="002353F3">
      <w:pPr>
        <w:tabs>
          <w:tab w:val="left" w:pos="3960"/>
        </w:tabs>
        <w:jc w:val="center"/>
        <w:rPr>
          <w:sz w:val="22"/>
          <w:szCs w:val="22"/>
        </w:rPr>
      </w:pPr>
      <w:r w:rsidRPr="00F23179">
        <w:rPr>
          <w:rFonts w:eastAsiaTheme="minorEastAsia"/>
          <w:noProof/>
          <w:sz w:val="22"/>
          <w:szCs w:val="22"/>
          <w:lang w:eastAsia="lv-LV"/>
        </w:rPr>
        <w:t>vienotais informatīvais tālru</w:t>
      </w:r>
      <w:r w:rsidR="00C61905" w:rsidRPr="00F23179">
        <w:rPr>
          <w:rFonts w:eastAsiaTheme="minorEastAsia"/>
          <w:noProof/>
          <w:sz w:val="22"/>
          <w:szCs w:val="22"/>
          <w:lang w:eastAsia="lv-LV"/>
        </w:rPr>
        <w:t>nis</w:t>
      </w:r>
      <w:r w:rsidR="006E4799" w:rsidRPr="00F23179">
        <w:rPr>
          <w:rFonts w:eastAsiaTheme="minorEastAsia"/>
          <w:noProof/>
          <w:sz w:val="22"/>
          <w:szCs w:val="22"/>
          <w:lang w:eastAsia="lv-LV"/>
        </w:rPr>
        <w:t xml:space="preserve"> </w:t>
      </w:r>
      <w:r w:rsidRPr="00F23179">
        <w:rPr>
          <w:rFonts w:eastAsiaTheme="minorEastAsia"/>
          <w:noProof/>
          <w:sz w:val="22"/>
          <w:szCs w:val="22"/>
          <w:lang w:eastAsia="lv-LV"/>
        </w:rPr>
        <w:t>8900</w:t>
      </w:r>
    </w:p>
    <w:p w14:paraId="2C1805BA" w14:textId="1E83EAEA" w:rsidR="002353F3" w:rsidRPr="00F23179" w:rsidRDefault="002353F3" w:rsidP="002353F3">
      <w:pPr>
        <w:tabs>
          <w:tab w:val="left" w:pos="3960"/>
        </w:tabs>
        <w:jc w:val="center"/>
        <w:rPr>
          <w:sz w:val="22"/>
          <w:szCs w:val="22"/>
        </w:rPr>
      </w:pPr>
      <w:r w:rsidRPr="00F23179">
        <w:rPr>
          <w:sz w:val="22"/>
          <w:szCs w:val="22"/>
        </w:rPr>
        <w:t xml:space="preserve">e-pasts: </w:t>
      </w:r>
      <w:hyperlink r:id="rId8" w:history="1">
        <w:r w:rsidRPr="00F23179">
          <w:rPr>
            <w:rStyle w:val="Hyperlink"/>
            <w:sz w:val="22"/>
            <w:szCs w:val="22"/>
          </w:rPr>
          <w:t>rnparvaldnieks@rnparvaldnieks.lv</w:t>
        </w:r>
      </w:hyperlink>
      <w:r w:rsidRPr="00F23179">
        <w:rPr>
          <w:sz w:val="22"/>
          <w:szCs w:val="22"/>
        </w:rPr>
        <w:t xml:space="preserve">, </w:t>
      </w:r>
      <w:r w:rsidR="003A3B9E" w:rsidRPr="00F23179">
        <w:rPr>
          <w:sz w:val="22"/>
          <w:szCs w:val="22"/>
        </w:rPr>
        <w:t xml:space="preserve">mājaslapa: </w:t>
      </w:r>
      <w:hyperlink r:id="rId9" w:history="1">
        <w:r w:rsidR="006518A5" w:rsidRPr="00F23179">
          <w:rPr>
            <w:rStyle w:val="Hyperlink"/>
            <w:sz w:val="22"/>
            <w:szCs w:val="22"/>
          </w:rPr>
          <w:t>www.rnparvaldnieks.lv</w:t>
        </w:r>
      </w:hyperlink>
    </w:p>
    <w:p w14:paraId="30A06FD0" w14:textId="77777777" w:rsidR="002353F3" w:rsidRPr="00F23179" w:rsidRDefault="002353F3" w:rsidP="002353F3">
      <w:pPr>
        <w:jc w:val="both"/>
      </w:pPr>
    </w:p>
    <w:p w14:paraId="15EE3DBB" w14:textId="77777777" w:rsidR="002353F3" w:rsidRPr="00F23179" w:rsidRDefault="002353F3" w:rsidP="002353F3">
      <w:pPr>
        <w:tabs>
          <w:tab w:val="left" w:pos="1440"/>
          <w:tab w:val="center" w:pos="4629"/>
        </w:tabs>
        <w:spacing w:after="280"/>
        <w:jc w:val="center"/>
      </w:pPr>
      <w:r w:rsidRPr="00F23179">
        <w:t>Rīgā</w:t>
      </w:r>
    </w:p>
    <w:tbl>
      <w:tblPr>
        <w:tblW w:w="4788" w:type="dxa"/>
        <w:tblCellMar>
          <w:left w:w="10" w:type="dxa"/>
          <w:right w:w="10" w:type="dxa"/>
        </w:tblCellMar>
        <w:tblLook w:val="04A0" w:firstRow="1" w:lastRow="0" w:firstColumn="1" w:lastColumn="0" w:noHBand="0" w:noVBand="1"/>
      </w:tblPr>
      <w:tblGrid>
        <w:gridCol w:w="520"/>
        <w:gridCol w:w="1568"/>
        <w:gridCol w:w="556"/>
        <w:gridCol w:w="2144"/>
      </w:tblGrid>
      <w:tr w:rsidR="008F76A8" w:rsidRPr="00F23179" w14:paraId="565C0E6A" w14:textId="77777777" w:rsidTr="008F76A8">
        <w:tc>
          <w:tcPr>
            <w:tcW w:w="520" w:type="dxa"/>
            <w:tcMar>
              <w:top w:w="0" w:type="dxa"/>
              <w:left w:w="108" w:type="dxa"/>
              <w:bottom w:w="0" w:type="dxa"/>
              <w:right w:w="108" w:type="dxa"/>
            </w:tcMar>
          </w:tcPr>
          <w:p w14:paraId="0EFF39BC" w14:textId="77777777" w:rsidR="008F76A8" w:rsidRPr="00F23179" w:rsidRDefault="008F76A8">
            <w:pPr>
              <w:tabs>
                <w:tab w:val="left" w:pos="360"/>
                <w:tab w:val="left" w:pos="3960"/>
              </w:tabs>
              <w:jc w:val="both"/>
            </w:pPr>
          </w:p>
        </w:tc>
        <w:bookmarkStart w:id="0" w:name="reg_dat"/>
        <w:tc>
          <w:tcPr>
            <w:tcW w:w="1568" w:type="dxa"/>
            <w:tcBorders>
              <w:top w:val="nil"/>
              <w:left w:val="nil"/>
              <w:bottom w:val="single" w:sz="4" w:space="0" w:color="000000"/>
              <w:right w:val="nil"/>
            </w:tcBorders>
            <w:tcMar>
              <w:top w:w="0" w:type="dxa"/>
              <w:left w:w="108" w:type="dxa"/>
              <w:bottom w:w="0" w:type="dxa"/>
              <w:right w:w="108" w:type="dxa"/>
            </w:tcMar>
          </w:tcPr>
          <w:p w14:paraId="7056AAA6" w14:textId="57042BDC" w:rsidR="008F76A8" w:rsidRPr="00F23179" w:rsidRDefault="006148C1">
            <w:pPr>
              <w:tabs>
                <w:tab w:val="left" w:pos="360"/>
                <w:tab w:val="left" w:pos="3960"/>
              </w:tabs>
            </w:pPr>
            <w:r w:rsidRPr="00F23179">
              <w:fldChar w:fldCharType="begin">
                <w:ffData>
                  <w:name w:val="reg_dat"/>
                  <w:enabled/>
                  <w:calcOnExit w:val="0"/>
                  <w:textInput>
                    <w:default w:val="                      "/>
                  </w:textInput>
                </w:ffData>
              </w:fldChar>
            </w:r>
            <w:r w:rsidRPr="00F23179">
              <w:instrText xml:space="preserve"> FORMTEXT </w:instrText>
            </w:r>
            <w:r w:rsidRPr="00F23179">
              <w:fldChar w:fldCharType="separate"/>
            </w:r>
            <w:r w:rsidR="006A236C">
              <w:t>08.06.2022</w:t>
            </w:r>
            <w:r w:rsidRPr="00F23179">
              <w:fldChar w:fldCharType="end"/>
            </w:r>
            <w:bookmarkEnd w:id="0"/>
          </w:p>
        </w:tc>
        <w:tc>
          <w:tcPr>
            <w:tcW w:w="556" w:type="dxa"/>
            <w:tcMar>
              <w:top w:w="0" w:type="dxa"/>
              <w:left w:w="108" w:type="dxa"/>
              <w:bottom w:w="0" w:type="dxa"/>
              <w:right w:w="108" w:type="dxa"/>
            </w:tcMar>
            <w:hideMark/>
          </w:tcPr>
          <w:p w14:paraId="47DD9BD7" w14:textId="77777777" w:rsidR="008F76A8" w:rsidRPr="00F23179" w:rsidRDefault="008F76A8">
            <w:pPr>
              <w:tabs>
                <w:tab w:val="left" w:pos="360"/>
                <w:tab w:val="left" w:pos="3960"/>
              </w:tabs>
              <w:jc w:val="both"/>
            </w:pPr>
            <w:r w:rsidRPr="00F23179">
              <w:t>Nr.</w:t>
            </w:r>
          </w:p>
        </w:tc>
        <w:tc>
          <w:tcPr>
            <w:tcW w:w="2144" w:type="dxa"/>
            <w:tcBorders>
              <w:top w:val="nil"/>
              <w:left w:val="nil"/>
              <w:bottom w:val="single" w:sz="4" w:space="0" w:color="000000"/>
              <w:right w:val="nil"/>
            </w:tcBorders>
            <w:tcMar>
              <w:top w:w="0" w:type="dxa"/>
              <w:left w:w="108" w:type="dxa"/>
              <w:bottom w:w="0" w:type="dxa"/>
              <w:right w:w="108" w:type="dxa"/>
            </w:tcMar>
          </w:tcPr>
          <w:p w14:paraId="1BB05290" w14:textId="21D23F25" w:rsidR="008F76A8" w:rsidRPr="00F23179" w:rsidRDefault="00397F27">
            <w:pPr>
              <w:tabs>
                <w:tab w:val="left" w:pos="360"/>
                <w:tab w:val="left" w:pos="3960"/>
              </w:tabs>
            </w:pPr>
            <w:r w:rsidRPr="00F23179">
              <w:t>1-2e</w:t>
            </w:r>
            <w:r w:rsidR="00A22F1A" w:rsidRPr="00F23179">
              <w:t>/</w:t>
            </w:r>
            <w:bookmarkStart w:id="1" w:name="reg_num"/>
            <w:r w:rsidR="006148C1" w:rsidRPr="00F23179">
              <w:fldChar w:fldCharType="begin">
                <w:ffData>
                  <w:name w:val="reg_num"/>
                  <w:enabled/>
                  <w:calcOnExit w:val="0"/>
                  <w:textInput>
                    <w:default w:val="                   "/>
                  </w:textInput>
                </w:ffData>
              </w:fldChar>
            </w:r>
            <w:r w:rsidR="006148C1" w:rsidRPr="00F23179">
              <w:instrText xml:space="preserve"> FORMTEXT </w:instrText>
            </w:r>
            <w:r w:rsidR="006148C1" w:rsidRPr="00F23179">
              <w:fldChar w:fldCharType="separate"/>
            </w:r>
            <w:r w:rsidR="006A236C">
              <w:t>24171</w:t>
            </w:r>
            <w:r w:rsidR="006148C1" w:rsidRPr="00F23179">
              <w:fldChar w:fldCharType="end"/>
            </w:r>
            <w:bookmarkEnd w:id="1"/>
          </w:p>
        </w:tc>
      </w:tr>
      <w:tr w:rsidR="008F76A8" w:rsidRPr="00F23179" w14:paraId="14FDE219" w14:textId="77777777" w:rsidTr="008F76A8">
        <w:tc>
          <w:tcPr>
            <w:tcW w:w="520" w:type="dxa"/>
            <w:tcMar>
              <w:top w:w="0" w:type="dxa"/>
              <w:left w:w="108" w:type="dxa"/>
              <w:bottom w:w="0" w:type="dxa"/>
              <w:right w:w="108" w:type="dxa"/>
            </w:tcMar>
          </w:tcPr>
          <w:p w14:paraId="24A1E9E0" w14:textId="77777777" w:rsidR="008F76A8" w:rsidRPr="00F23179" w:rsidRDefault="008F76A8">
            <w:pPr>
              <w:tabs>
                <w:tab w:val="left" w:pos="360"/>
                <w:tab w:val="left" w:pos="3960"/>
              </w:tabs>
            </w:pPr>
          </w:p>
        </w:tc>
        <w:tc>
          <w:tcPr>
            <w:tcW w:w="1568" w:type="dxa"/>
            <w:tcBorders>
              <w:top w:val="single" w:sz="4" w:space="0" w:color="000000"/>
              <w:left w:val="nil"/>
              <w:bottom w:val="nil"/>
              <w:right w:val="nil"/>
            </w:tcBorders>
            <w:tcMar>
              <w:top w:w="0" w:type="dxa"/>
              <w:left w:w="108" w:type="dxa"/>
              <w:bottom w:w="0" w:type="dxa"/>
              <w:right w:w="108" w:type="dxa"/>
            </w:tcMar>
          </w:tcPr>
          <w:p w14:paraId="72960965" w14:textId="77777777" w:rsidR="008F76A8" w:rsidRPr="00F23179" w:rsidRDefault="008F76A8">
            <w:pPr>
              <w:tabs>
                <w:tab w:val="left" w:pos="360"/>
                <w:tab w:val="left" w:pos="3960"/>
              </w:tabs>
            </w:pPr>
          </w:p>
        </w:tc>
        <w:tc>
          <w:tcPr>
            <w:tcW w:w="556" w:type="dxa"/>
            <w:tcMar>
              <w:top w:w="0" w:type="dxa"/>
              <w:left w:w="108" w:type="dxa"/>
              <w:bottom w:w="0" w:type="dxa"/>
              <w:right w:w="108" w:type="dxa"/>
            </w:tcMar>
          </w:tcPr>
          <w:p w14:paraId="00F34B6D" w14:textId="77777777" w:rsidR="008F76A8" w:rsidRPr="00F23179" w:rsidRDefault="008F76A8">
            <w:pPr>
              <w:tabs>
                <w:tab w:val="left" w:pos="360"/>
                <w:tab w:val="left" w:pos="3960"/>
              </w:tabs>
            </w:pPr>
          </w:p>
        </w:tc>
        <w:tc>
          <w:tcPr>
            <w:tcW w:w="2144" w:type="dxa"/>
            <w:tcBorders>
              <w:top w:val="single" w:sz="4" w:space="0" w:color="000000"/>
              <w:left w:val="nil"/>
              <w:bottom w:val="nil"/>
              <w:right w:val="nil"/>
            </w:tcBorders>
            <w:tcMar>
              <w:top w:w="0" w:type="dxa"/>
              <w:left w:w="108" w:type="dxa"/>
              <w:bottom w:w="0" w:type="dxa"/>
              <w:right w:w="108" w:type="dxa"/>
            </w:tcMar>
          </w:tcPr>
          <w:p w14:paraId="10A13F16" w14:textId="77777777" w:rsidR="008F76A8" w:rsidRPr="00F23179" w:rsidRDefault="008F76A8">
            <w:pPr>
              <w:tabs>
                <w:tab w:val="left" w:pos="360"/>
                <w:tab w:val="left" w:pos="3960"/>
              </w:tabs>
            </w:pPr>
          </w:p>
        </w:tc>
      </w:tr>
      <w:tr w:rsidR="008F76A8" w:rsidRPr="00F23179" w14:paraId="6ADEA798" w14:textId="77777777" w:rsidTr="008F76A8">
        <w:tc>
          <w:tcPr>
            <w:tcW w:w="520" w:type="dxa"/>
            <w:tcMar>
              <w:top w:w="0" w:type="dxa"/>
              <w:left w:w="108" w:type="dxa"/>
              <w:bottom w:w="0" w:type="dxa"/>
              <w:right w:w="108" w:type="dxa"/>
            </w:tcMar>
            <w:hideMark/>
          </w:tcPr>
          <w:p w14:paraId="6AD79369" w14:textId="77777777" w:rsidR="008F76A8" w:rsidRPr="00F23179" w:rsidRDefault="008F76A8">
            <w:pPr>
              <w:tabs>
                <w:tab w:val="left" w:pos="360"/>
                <w:tab w:val="left" w:pos="3960"/>
              </w:tabs>
            </w:pPr>
            <w:r w:rsidRPr="00F23179">
              <w:t>Uz</w:t>
            </w:r>
          </w:p>
        </w:tc>
        <w:tc>
          <w:tcPr>
            <w:tcW w:w="1568" w:type="dxa"/>
            <w:tcBorders>
              <w:top w:val="nil"/>
              <w:left w:val="nil"/>
              <w:bottom w:val="single" w:sz="4" w:space="0" w:color="000000"/>
              <w:right w:val="nil"/>
            </w:tcBorders>
            <w:tcMar>
              <w:top w:w="0" w:type="dxa"/>
              <w:left w:w="108" w:type="dxa"/>
              <w:bottom w:w="0" w:type="dxa"/>
              <w:right w:w="108" w:type="dxa"/>
            </w:tcMar>
          </w:tcPr>
          <w:p w14:paraId="6B3F1FC9" w14:textId="77777777" w:rsidR="008F76A8" w:rsidRPr="00F23179" w:rsidRDefault="008F76A8">
            <w:pPr>
              <w:tabs>
                <w:tab w:val="left" w:pos="360"/>
                <w:tab w:val="left" w:pos="3960"/>
              </w:tabs>
            </w:pPr>
          </w:p>
        </w:tc>
        <w:tc>
          <w:tcPr>
            <w:tcW w:w="556" w:type="dxa"/>
            <w:tcMar>
              <w:top w:w="0" w:type="dxa"/>
              <w:left w:w="108" w:type="dxa"/>
              <w:bottom w:w="0" w:type="dxa"/>
              <w:right w:w="108" w:type="dxa"/>
            </w:tcMar>
            <w:hideMark/>
          </w:tcPr>
          <w:p w14:paraId="6FB3552F" w14:textId="77777777" w:rsidR="008F76A8" w:rsidRPr="00F23179" w:rsidRDefault="008F76A8">
            <w:pPr>
              <w:tabs>
                <w:tab w:val="left" w:pos="360"/>
                <w:tab w:val="left" w:pos="3960"/>
              </w:tabs>
            </w:pPr>
            <w:r w:rsidRPr="00F23179">
              <w:t>Nr.</w:t>
            </w:r>
          </w:p>
        </w:tc>
        <w:tc>
          <w:tcPr>
            <w:tcW w:w="2144" w:type="dxa"/>
            <w:tcBorders>
              <w:top w:val="nil"/>
              <w:left w:val="nil"/>
              <w:bottom w:val="single" w:sz="4" w:space="0" w:color="000000"/>
              <w:right w:val="nil"/>
            </w:tcBorders>
            <w:tcMar>
              <w:top w:w="0" w:type="dxa"/>
              <w:left w:w="108" w:type="dxa"/>
              <w:bottom w:w="0" w:type="dxa"/>
              <w:right w:w="108" w:type="dxa"/>
            </w:tcMar>
          </w:tcPr>
          <w:p w14:paraId="4DD7CCF5" w14:textId="77777777" w:rsidR="008F76A8" w:rsidRPr="00F23179" w:rsidRDefault="008F76A8">
            <w:pPr>
              <w:tabs>
                <w:tab w:val="left" w:pos="360"/>
                <w:tab w:val="left" w:pos="3960"/>
              </w:tabs>
            </w:pPr>
          </w:p>
        </w:tc>
      </w:tr>
    </w:tbl>
    <w:p w14:paraId="7AD07531" w14:textId="77777777" w:rsidR="008F76A8" w:rsidRPr="00F23179" w:rsidRDefault="008F76A8" w:rsidP="008F76A8"/>
    <w:p w14:paraId="7AD470DB" w14:textId="65359F2E" w:rsidR="00173687" w:rsidRPr="00F23179" w:rsidRDefault="00173687" w:rsidP="008F76A8"/>
    <w:p w14:paraId="6BB2391C" w14:textId="77777777" w:rsidR="00F601E5" w:rsidRDefault="00F601E5" w:rsidP="00F601E5">
      <w:pPr>
        <w:jc w:val="right"/>
        <w:rPr>
          <w:b/>
        </w:rPr>
      </w:pPr>
      <w:r>
        <w:rPr>
          <w:b/>
        </w:rPr>
        <w:t>Ekonomikas ministrijai</w:t>
      </w:r>
    </w:p>
    <w:p w14:paraId="2F45D970" w14:textId="77777777" w:rsidR="00F601E5" w:rsidRDefault="00306063" w:rsidP="00F601E5">
      <w:pPr>
        <w:jc w:val="right"/>
        <w:rPr>
          <w:rStyle w:val="Hyperlink"/>
        </w:rPr>
      </w:pPr>
      <w:hyperlink r:id="rId10" w:history="1">
        <w:r w:rsidR="00F601E5" w:rsidRPr="00703A52">
          <w:rPr>
            <w:rStyle w:val="Hyperlink"/>
          </w:rPr>
          <w:t>pasts@em.gov.lv</w:t>
        </w:r>
      </w:hyperlink>
    </w:p>
    <w:p w14:paraId="343DC63F" w14:textId="40EB3E0C" w:rsidR="00604BC2" w:rsidRPr="00F23179" w:rsidRDefault="00604BC2" w:rsidP="00604BC2"/>
    <w:p w14:paraId="30E7ACCD" w14:textId="3CA84FA5" w:rsidR="00F23179" w:rsidRPr="00F601E5" w:rsidRDefault="00F23179" w:rsidP="00DD2572">
      <w:r w:rsidRPr="00F23179">
        <w:rPr>
          <w:i/>
        </w:rPr>
        <w:t xml:space="preserve">Par </w:t>
      </w:r>
      <w:r w:rsidR="00F601E5">
        <w:rPr>
          <w:i/>
        </w:rPr>
        <w:t>g</w:t>
      </w:r>
      <w:r w:rsidR="00F601E5" w:rsidRPr="00F601E5">
        <w:rPr>
          <w:i/>
        </w:rPr>
        <w:t>rozījumi</w:t>
      </w:r>
      <w:r w:rsidR="00F601E5">
        <w:rPr>
          <w:i/>
        </w:rPr>
        <w:t>em</w:t>
      </w:r>
      <w:r w:rsidR="00F601E5" w:rsidRPr="00F601E5">
        <w:rPr>
          <w:i/>
        </w:rPr>
        <w:t xml:space="preserve"> </w:t>
      </w:r>
      <w:r w:rsidR="00DD2572">
        <w:rPr>
          <w:i/>
        </w:rPr>
        <w:t>normatīvajos aktos</w:t>
      </w:r>
    </w:p>
    <w:p w14:paraId="200451A6" w14:textId="77777777" w:rsidR="00DD2572" w:rsidRDefault="00DD2572" w:rsidP="004542C8">
      <w:pPr>
        <w:ind w:firstLine="720"/>
        <w:jc w:val="both"/>
      </w:pPr>
    </w:p>
    <w:p w14:paraId="42784DFA" w14:textId="77777777" w:rsidR="00B1153A" w:rsidRPr="007822FD" w:rsidRDefault="00B1153A" w:rsidP="00B1153A">
      <w:pPr>
        <w:ind w:firstLine="720"/>
        <w:jc w:val="both"/>
      </w:pPr>
      <w:r>
        <w:t xml:space="preserve">Ņemot vērā </w:t>
      </w:r>
      <w:r w:rsidRPr="00F23179">
        <w:t>SIA “Rīgas namu pārvaldnieks” (turpmāk – Sabiedrība)</w:t>
      </w:r>
      <w:r>
        <w:t xml:space="preserve"> un Ekonomikas ministrijas pārstāvju 25.05.2022. tikšanās laikā panākto vienošanos, Sabiedrība sniedz komentārus un priekšlikumus par Ekonomikas ministrijas izstrādāto </w:t>
      </w:r>
      <w:r w:rsidRPr="007822FD">
        <w:t>Ministru kabineta 21.10.2008. noteikumu Nr. 876 "Siltumenerģijas piegādes un lietošanas noteikumi"</w:t>
      </w:r>
      <w:r>
        <w:t xml:space="preserve"> (turpmāk – Noteikumi)</w:t>
      </w:r>
      <w:r w:rsidRPr="007822FD">
        <w:t xml:space="preserve"> grozījumu projektu</w:t>
      </w:r>
      <w:r>
        <w:t xml:space="preserve"> (p</w:t>
      </w:r>
      <w:r w:rsidRPr="007822FD">
        <w:t>rojekta ID</w:t>
      </w:r>
      <w:r>
        <w:t xml:space="preserve">: </w:t>
      </w:r>
      <w:r w:rsidRPr="007822FD">
        <w:t>22-TA-871</w:t>
      </w:r>
      <w:r>
        <w:t>) un par to iesniegtajiem institūciju iebildumiem/priekšlikumiem.</w:t>
      </w:r>
    </w:p>
    <w:p w14:paraId="1C54462D" w14:textId="77777777" w:rsidR="00B1153A" w:rsidRPr="005177A8" w:rsidRDefault="00B1153A" w:rsidP="00B1153A">
      <w:pPr>
        <w:ind w:firstLine="720"/>
        <w:jc w:val="both"/>
        <w:rPr>
          <w:color w:val="000000"/>
          <w:u w:val="single"/>
          <w:shd w:val="clear" w:color="auto" w:fill="FFFFFF"/>
        </w:rPr>
      </w:pPr>
      <w:r w:rsidRPr="005177A8">
        <w:rPr>
          <w:color w:val="000000"/>
          <w:u w:val="single"/>
          <w:shd w:val="clear" w:color="auto" w:fill="FFFFFF"/>
        </w:rPr>
        <w:t xml:space="preserve">1. Par </w:t>
      </w:r>
      <w:r w:rsidRPr="005177A8">
        <w:rPr>
          <w:u w:val="single"/>
          <w:shd w:val="clear" w:color="auto" w:fill="FFFFFF"/>
        </w:rPr>
        <w:t>Noteikumu grozījumu projekta 4. punktā ietverto Noteikumu 27.1. apakšpunktu.</w:t>
      </w:r>
    </w:p>
    <w:p w14:paraId="6815001E" w14:textId="77777777" w:rsidR="00B1153A" w:rsidRPr="005F1D72" w:rsidRDefault="00B1153A" w:rsidP="00B1153A">
      <w:pPr>
        <w:ind w:firstLine="720"/>
        <w:jc w:val="both"/>
        <w:rPr>
          <w:color w:val="000000"/>
          <w:shd w:val="clear" w:color="auto" w:fill="FFFFFF"/>
        </w:rPr>
      </w:pPr>
      <w:r>
        <w:rPr>
          <w:color w:val="000000"/>
          <w:shd w:val="clear" w:color="auto" w:fill="FFFFFF"/>
        </w:rPr>
        <w:t>Šobrīd Noteikumu grozījumu projekta 4. punktā paredzēts, ka</w:t>
      </w:r>
      <w:r>
        <w:rPr>
          <w:rFonts w:ascii="Verdana" w:hAnsi="Verdana"/>
          <w:color w:val="525252"/>
          <w:sz w:val="19"/>
          <w:szCs w:val="19"/>
          <w:shd w:val="clear" w:color="auto" w:fill="FFFFFF"/>
        </w:rPr>
        <w:t> </w:t>
      </w:r>
      <w:r w:rsidRPr="004664EA">
        <w:rPr>
          <w:shd w:val="clear" w:color="auto" w:fill="FFFFFF"/>
        </w:rPr>
        <w:t xml:space="preserve">“piegādātājam ir tiesības pārtraukt pilnīgi vai daļēji siltumenerģijas piegādi daudzdzīvokļu mājai, ja norēķinus par siltumenerģijas saņemšanu nav veikuši vismaz 20% daudzdzīvokļu nama iedzīvotāji un pret parādniekiem nav uzsākts aktīvs parādu piedziņas process divu mēnešu laikā pēc brīdinājuma par parādu nosūtīšanas.” </w:t>
      </w:r>
      <w:r>
        <w:rPr>
          <w:color w:val="000000"/>
          <w:shd w:val="clear" w:color="auto" w:fill="FFFFFF"/>
        </w:rPr>
        <w:t xml:space="preserve">Sabiedrība norāda, ka, lai arī tai </w:t>
      </w:r>
      <w:r w:rsidRPr="00DE1703">
        <w:t>20% parādnieku sli</w:t>
      </w:r>
      <w:r>
        <w:t xml:space="preserve">eksnis ir konceptuāli pieņemams, šāds risinājums joprojām nenodrošina, ka siltumenerģijas piegāde daudzdzīvokļu mājai netiek pārtraukta nebūtisku parādu dēļ. Ir iespējamas situācijas, ka daudzdzīvokļu mājā ir liels skaits maksājumus kavējušo īpašnieku, taču to parādu kopējais apmērs nav tik liels, lai būtu samērīgi daudzīvokļu mājai pārtraukt siltumenerģijas piegādi. Līdz ar to Sabiedrība ierosina noteikt, ka siltumenerģijas piegādi var pārtraukt, </w:t>
      </w:r>
      <w:r w:rsidRPr="00C4203A">
        <w:t xml:space="preserve">ja </w:t>
      </w:r>
      <w:r w:rsidRPr="004664EA">
        <w:t>daudzdzīvokļu mājas īpašnieku parāds pārsniedz 10% no kopējas maksas par iepriekšējā apkures sezonā patērēto siltumenerģiju</w:t>
      </w:r>
      <w:r>
        <w:t xml:space="preserve"> (saglabājot noteikumu par parādu piedziņas procesa uzsākšanu) un šajā summā neieskaita parādus, kuriem nākotnē, izpildoties visiem nosacījumiem, ir paredzama parāda norakstīšana (šobrīd maksātnespējīgas personas parāds un mirušas personas parāds līdz procesu pabeigšanai, jo šo parādu apmēru nav iespēju ietekmēt nevienai no pusēm, bet parādu apmērs var veidoties būtisks un ilgākā termiņā). Šāds risinājums nodrošinātu, ka siltumenerģijas piegādātājs </w:t>
      </w:r>
      <w:r>
        <w:rPr>
          <w:lang w:eastAsia="lv-LV"/>
        </w:rPr>
        <w:t>var prognozēt daudzdzīvokļu mājas īpašnieku parādu apmēru, līdz kuram tam būs pienākums piegādāt siltumenerģiju neatkarīgi no tā, vai ir uzsākts aktīvs parādu piedziņas process. Turklāt siltumenerģijas piegādātāja rīcībā ir dati par daudzdzīvokļu dzīvojamās mājas īpašnieku kopējo parādu (tos nav jāpieprasa no pārvaldnieka).</w:t>
      </w:r>
    </w:p>
    <w:p w14:paraId="08B25B97" w14:textId="77777777" w:rsidR="00B1153A" w:rsidRPr="00805DE9" w:rsidRDefault="00B1153A" w:rsidP="00B1153A">
      <w:pPr>
        <w:ind w:firstLine="720"/>
        <w:jc w:val="both"/>
        <w:rPr>
          <w:shd w:val="clear" w:color="auto" w:fill="FFFFFF"/>
        </w:rPr>
      </w:pPr>
      <w:r>
        <w:rPr>
          <w:lang w:eastAsia="lv-LV"/>
        </w:rPr>
        <w:t xml:space="preserve">Saistībā ar </w:t>
      </w:r>
      <w:r w:rsidRPr="00130222">
        <w:rPr>
          <w:shd w:val="clear" w:color="auto" w:fill="FFFFFF"/>
        </w:rPr>
        <w:t xml:space="preserve">paredzēto par aktīva parādu piedziņas procesa uzsākšanas termiņu Sabiedrība ierosina divu mēnešu termiņa vietā noteikt trīs mēnešu termiņu. </w:t>
      </w:r>
      <w:r>
        <w:t xml:space="preserve">28.04.2012. likumprojekta </w:t>
      </w:r>
      <w:r w:rsidRPr="00130222">
        <w:t>Nr.</w:t>
      </w:r>
      <w:r>
        <w:t xml:space="preserve"> 90/TA-811 </w:t>
      </w:r>
      <w:r w:rsidRPr="00130222">
        <w:t>(2012)</w:t>
      </w:r>
      <w:r>
        <w:t xml:space="preserve"> </w:t>
      </w:r>
      <w:r w:rsidRPr="00130222">
        <w:t>„Grozījumi Dzīvojamo māju pārvaldīšanas likumā” </w:t>
      </w:r>
      <w:r>
        <w:t>anotācijā</w:t>
      </w:r>
      <w:r>
        <w:rPr>
          <w:rStyle w:val="FootnoteReference"/>
        </w:rPr>
        <w:footnoteReference w:id="1"/>
      </w:r>
      <w:r>
        <w:t xml:space="preserve"> norādīts, ka trīs mēnešu termiņš pārvaldnieka komunikācijas uzsākšanai ar </w:t>
      </w:r>
      <w:r>
        <w:lastRenderedPageBreak/>
        <w:t xml:space="preserve">parādnieku </w:t>
      </w:r>
      <w:r w:rsidRPr="00CF7D7B">
        <w:rPr>
          <w:color w:val="000000"/>
          <w:shd w:val="clear" w:color="auto" w:fill="FFFFFF"/>
        </w:rPr>
        <w:t>(t.i., brīdinājuma sagatavošana</w:t>
      </w:r>
      <w:r>
        <w:rPr>
          <w:color w:val="000000"/>
          <w:shd w:val="clear" w:color="auto" w:fill="FFFFFF"/>
        </w:rPr>
        <w:t xml:space="preserve">i par saistību izpildes kavējumu) </w:t>
      </w:r>
      <w:r w:rsidRPr="00CF7D7B">
        <w:rPr>
          <w:color w:val="000000"/>
          <w:shd w:val="clear" w:color="auto" w:fill="FFFFFF"/>
        </w:rPr>
        <w:t>nodrošinātu saprātīgu līdzsvaru starp pārvaldnieka izdevumiem, kas saistīti ar parādnieku brīdināšanu un iespējamo tiesvedību, atsevišķa dzīvokļu īpašnieka iespējām nokārtot parādu, ja tam ir radušas īslaicīgas grūtības, kā arī pārējo dzīvokļu īpašnieku interesēm saņemt pakalpojumus, kas ir saistīti ar dzīvokļa īpašuma lietošanu.</w:t>
      </w:r>
    </w:p>
    <w:p w14:paraId="3D70576B" w14:textId="77777777" w:rsidR="00B1153A" w:rsidRPr="00446BE1" w:rsidRDefault="00B1153A" w:rsidP="00B1153A">
      <w:pPr>
        <w:ind w:firstLine="720"/>
        <w:jc w:val="both"/>
      </w:pPr>
      <w:r>
        <w:rPr>
          <w:lang w:eastAsia="lv-LV"/>
        </w:rPr>
        <w:t xml:space="preserve">Izvērtējot Labklājības ministrijas iebildumu 2. punktā minēto par dzīvokļu īpašnieku risku zaudēt vienīgo mājokli, Sabiedrība norāda, ka pārvaldniekiem un pakalpojumu sniedzējiem jau šobrīd ir tiesības uzsākt šādu aktīvu parādu piedziņas procesu. </w:t>
      </w:r>
      <w:r w:rsidRPr="00446BE1">
        <w:t>Saistībā ar Labklājības ministrijas iebildumu 2.</w:t>
      </w:r>
      <w:r>
        <w:t> </w:t>
      </w:r>
      <w:r w:rsidRPr="00446BE1">
        <w:t>punktā norādīto, ka nav saprotams, kā daudzīvokļu mājas iedzīvotājs, kurš regulāri veic norēķinus par siltumenerģijas saņemšanu, var ietekmēt daudzdzīvokļu mājas pārvaldnieku uzsākt aktīvu parādu piedziņas procesu, Sabiedrība norāda ka daudzdzīvokļu mājas īpašnieki var izbeigt pārvaldīšanas tiesiskās attiecības ar esošo pārvaldnieku un izvēlēties jaunu pārvaldnieku, ja esošais pārvaldnieks nenodrošin</w:t>
      </w:r>
      <w:r>
        <w:t xml:space="preserve">a pārvaldīšanas pakalpojumu </w:t>
      </w:r>
      <w:r w:rsidRPr="00446BE1">
        <w:t>pietiekamā kvalitātē. Minētais arī motivētu pārvaldniekus palielināt savu parādu piedziņas kapacitāti, lai daudzdzīvokļu mājai nodrošinātu savlaicīgu apkures pieslēgšanu un nezaudētu klientus.</w:t>
      </w:r>
    </w:p>
    <w:p w14:paraId="19D67A1E" w14:textId="77777777" w:rsidR="00B1153A" w:rsidRDefault="00B1153A" w:rsidP="00B1153A">
      <w:pPr>
        <w:ind w:firstLine="720"/>
        <w:jc w:val="both"/>
        <w:rPr>
          <w:lang w:eastAsia="lv-LV"/>
        </w:rPr>
      </w:pPr>
      <w:r>
        <w:rPr>
          <w:lang w:eastAsia="lv-LV"/>
        </w:rPr>
        <w:t>Sabiedrība pievienojas Tieslietu ministrijas 10. priekšlikumā norādītajam, ka “nav skaidri saprotams, vai 27.1. apakšpunktā paredzētās tiesības konkretizē noteikumu Nr. 876 26.4. apakšpunktā ietverto regulējumu, tai skaitā, ņemot vērā, ka 27.1. apakšpunktā paredzētās tiesības ir ietvertas 27. punktā, kas konkretizē konkrētus jautājumus saistībā siltumenerģijas piegādes pārtraukšanu plānotas un līgumā pare</w:t>
      </w:r>
      <w:r>
        <w:rPr>
          <w:lang w:eastAsia="lv-LV"/>
        </w:rPr>
        <w:softHyphen/>
        <w:t>dzētas siltumapgādes sistēmas atvienošanas dēļ. Attiecīgi lūdzam precizēt noteikumu projekta 27.1. apakšpunktu, nodrošinot strukturāli skaidras normas”.</w:t>
      </w:r>
    </w:p>
    <w:p w14:paraId="541786FF" w14:textId="77777777" w:rsidR="00B1153A" w:rsidRDefault="00B1153A" w:rsidP="00B1153A">
      <w:pPr>
        <w:ind w:firstLine="720"/>
        <w:jc w:val="both"/>
        <w:rPr>
          <w:lang w:eastAsia="lv-LV"/>
        </w:rPr>
      </w:pPr>
      <w:r>
        <w:rPr>
          <w:lang w:eastAsia="lv-LV"/>
        </w:rPr>
        <w:t>Sabiedrības ieskatā, attiecīgais regulējums būtu iekļaujams Noteikumu 26.4. apakšpunktā, izsakot apakšpunktu šādā redakcijā:</w:t>
      </w:r>
    </w:p>
    <w:p w14:paraId="25A2C406" w14:textId="77777777" w:rsidR="00B1153A" w:rsidRPr="004664EA" w:rsidRDefault="00B1153A" w:rsidP="00B1153A">
      <w:pPr>
        <w:ind w:firstLine="720"/>
        <w:jc w:val="both"/>
        <w:rPr>
          <w:i/>
          <w:iCs/>
          <w:color w:val="000000"/>
          <w:shd w:val="clear" w:color="auto" w:fill="FFFFFF"/>
        </w:rPr>
      </w:pPr>
      <w:r>
        <w:rPr>
          <w:i/>
          <w:iCs/>
          <w:lang w:eastAsia="lv-LV"/>
        </w:rPr>
        <w:t xml:space="preserve">“26.4. </w:t>
      </w:r>
      <w:r>
        <w:rPr>
          <w:i/>
          <w:iCs/>
          <w:color w:val="000000"/>
          <w:shd w:val="clear" w:color="auto" w:fill="FFFFFF"/>
        </w:rPr>
        <w:t xml:space="preserve">ja lietotājs noteiktajos termiņos neveic norēķinus atbilstoši līguma nosacījumiem. </w:t>
      </w:r>
      <w:r>
        <w:rPr>
          <w:i/>
          <w:iCs/>
          <w:lang w:eastAsia="lv-LV"/>
        </w:rPr>
        <w:t xml:space="preserve">Ja siltumenerģija tiek piegādāta daudzīvokļu mājai, </w:t>
      </w:r>
      <w:r>
        <w:rPr>
          <w:i/>
          <w:iCs/>
          <w:color w:val="000000"/>
          <w:shd w:val="clear" w:color="auto" w:fill="FFFFFF"/>
        </w:rPr>
        <w:t xml:space="preserve">piegādātājam ir tiesības pārtraukt pilnīgi vai daļēji siltumenerģijas piegādi daudzdzīvokļu mājai, ja daudzdzīvokļu mājas īpašnieku kopējais parāds pārsniedz </w:t>
      </w:r>
      <w:r w:rsidRPr="00723316">
        <w:rPr>
          <w:i/>
        </w:rPr>
        <w:t>10% no kopējas maksas par iepriekšējā apkures sezonā patērēto siltumenerģiju</w:t>
      </w:r>
      <w:r>
        <w:rPr>
          <w:i/>
        </w:rPr>
        <w:t xml:space="preserve"> </w:t>
      </w:r>
      <w:r>
        <w:rPr>
          <w:i/>
          <w:iCs/>
          <w:color w:val="000000"/>
          <w:shd w:val="clear" w:color="auto" w:fill="FFFFFF"/>
        </w:rPr>
        <w:t xml:space="preserve">un pret parādniekiem nav uzsākts aktīvs parādu piedziņas process trīs mēnešu laikā pēc brīdinājuma par </w:t>
      </w:r>
      <w:r w:rsidRPr="004543A3">
        <w:rPr>
          <w:i/>
          <w:iCs/>
          <w:shd w:val="clear" w:color="auto" w:fill="FFFFFF"/>
        </w:rPr>
        <w:t>parādu nosūtīšanas;"</w:t>
      </w:r>
    </w:p>
    <w:p w14:paraId="7046D66B" w14:textId="77777777" w:rsidR="00B1153A" w:rsidRPr="00577717" w:rsidRDefault="00B1153A" w:rsidP="00B1153A">
      <w:pPr>
        <w:ind w:firstLine="720"/>
        <w:jc w:val="both"/>
      </w:pPr>
      <w:r>
        <w:rPr>
          <w:color w:val="000000"/>
          <w:shd w:val="clear" w:color="auto" w:fill="FFFFFF"/>
        </w:rPr>
        <w:t>Vienlaikus šādā veidā tiktu precizēta arī terminoloģija – “daudzdzīvokļu nama iedzīvotāji” vietā lietojot “daudzdzīvokļu mājas īpašnieki”, kas atbilstu Sabiedrisko pakalpojumu regulēšanas komisijas 3. priekšlikumam.</w:t>
      </w:r>
    </w:p>
    <w:p w14:paraId="689CC892" w14:textId="77777777" w:rsidR="00B1153A" w:rsidRPr="005E141E" w:rsidRDefault="00B1153A" w:rsidP="00B1153A">
      <w:pPr>
        <w:ind w:firstLine="720"/>
        <w:jc w:val="both"/>
        <w:rPr>
          <w:iCs/>
          <w:shd w:val="clear" w:color="auto" w:fill="FFFFFF"/>
        </w:rPr>
      </w:pPr>
      <w:r w:rsidRPr="005E141E">
        <w:rPr>
          <w:shd w:val="clear" w:color="auto" w:fill="FFFFFF"/>
        </w:rPr>
        <w:t xml:space="preserve">Biedrības "Latvijas </w:t>
      </w:r>
      <w:proofErr w:type="spellStart"/>
      <w:r w:rsidRPr="005E141E">
        <w:rPr>
          <w:shd w:val="clear" w:color="auto" w:fill="FFFFFF"/>
        </w:rPr>
        <w:t>siltumuzņēmumu</w:t>
      </w:r>
      <w:proofErr w:type="spellEnd"/>
      <w:r w:rsidRPr="005E141E">
        <w:rPr>
          <w:shd w:val="clear" w:color="auto" w:fill="FFFFFF"/>
        </w:rPr>
        <w:t xml:space="preserve"> asociācija" </w:t>
      </w:r>
      <w:r w:rsidRPr="00863AA0">
        <w:rPr>
          <w:shd w:val="clear" w:color="auto" w:fill="FFFFFF"/>
        </w:rPr>
        <w:t>iebildumu</w:t>
      </w:r>
      <w:r w:rsidRPr="00863AA0">
        <w:rPr>
          <w:iCs/>
          <w:shd w:val="clear" w:color="auto" w:fill="FFFFFF"/>
        </w:rPr>
        <w:t xml:space="preserve"> 3.</w:t>
      </w:r>
      <w:r>
        <w:rPr>
          <w:iCs/>
          <w:shd w:val="clear" w:color="auto" w:fill="FFFFFF"/>
        </w:rPr>
        <w:t> </w:t>
      </w:r>
      <w:r w:rsidRPr="00863AA0">
        <w:rPr>
          <w:iCs/>
          <w:shd w:val="clear" w:color="auto" w:fill="FFFFFF"/>
        </w:rPr>
        <w:t>punktā norādīts, ka</w:t>
      </w:r>
      <w:r w:rsidRPr="005E141E">
        <w:rPr>
          <w:i/>
          <w:iCs/>
          <w:shd w:val="clear" w:color="auto" w:fill="FFFFFF"/>
        </w:rPr>
        <w:t xml:space="preserve"> </w:t>
      </w:r>
      <w:r w:rsidRPr="005E141E">
        <w:rPr>
          <w:lang w:eastAsia="lv-LV"/>
        </w:rPr>
        <w:t xml:space="preserve"> siltumenerģijas piegādātājiem nav kontroles par atsevišķu iedzīvotāju  komunālo pakalpojumu norēķiniem un parādu piedziņas procesu stadiju katram atsevišķam dzīvoklim.</w:t>
      </w:r>
      <w:r w:rsidRPr="005E141E">
        <w:rPr>
          <w:i/>
          <w:iCs/>
          <w:shd w:val="clear" w:color="auto" w:fill="FFFFFF"/>
        </w:rPr>
        <w:t xml:space="preserve"> </w:t>
      </w:r>
      <w:r w:rsidRPr="005E141E">
        <w:rPr>
          <w:iCs/>
          <w:shd w:val="clear" w:color="auto" w:fill="FFFFFF"/>
        </w:rPr>
        <w:t>Lai nodrošinātu, ka siltumenerģijas piegādā</w:t>
      </w:r>
      <w:r>
        <w:rPr>
          <w:iCs/>
          <w:shd w:val="clear" w:color="auto" w:fill="FFFFFF"/>
        </w:rPr>
        <w:t>tā</w:t>
      </w:r>
      <w:r w:rsidRPr="005E141E">
        <w:rPr>
          <w:iCs/>
          <w:shd w:val="clear" w:color="auto" w:fill="FFFFFF"/>
        </w:rPr>
        <w:t xml:space="preserve">jiem ir tiesības saņemt šādu informāciju, Sabiedrība ierosina </w:t>
      </w:r>
      <w:r w:rsidRPr="005E141E">
        <w:rPr>
          <w:iCs/>
          <w:color w:val="000000"/>
          <w:shd w:val="clear" w:color="auto" w:fill="FFFFFF"/>
        </w:rPr>
        <w:t>papildināt Noteikumus ar 28.</w:t>
      </w:r>
      <w:r w:rsidRPr="005E141E">
        <w:rPr>
          <w:iCs/>
          <w:color w:val="000000"/>
          <w:shd w:val="clear" w:color="auto" w:fill="FFFFFF"/>
          <w:vertAlign w:val="superscript"/>
        </w:rPr>
        <w:t>1</w:t>
      </w:r>
      <w:r w:rsidRPr="005E141E">
        <w:rPr>
          <w:iCs/>
          <w:color w:val="000000"/>
          <w:shd w:val="clear" w:color="auto" w:fill="FFFFFF"/>
        </w:rPr>
        <w:t xml:space="preserve"> punktu šādā redakcijā:</w:t>
      </w:r>
    </w:p>
    <w:p w14:paraId="61C77310" w14:textId="77777777" w:rsidR="00B1153A" w:rsidRDefault="00B1153A" w:rsidP="00B1153A">
      <w:pPr>
        <w:ind w:firstLine="720"/>
        <w:jc w:val="both"/>
        <w:rPr>
          <w:iCs/>
          <w:color w:val="000000"/>
          <w:shd w:val="clear" w:color="auto" w:fill="FFFFFF"/>
        </w:rPr>
      </w:pPr>
      <w:r w:rsidRPr="005E141E">
        <w:rPr>
          <w:i/>
          <w:iCs/>
          <w:color w:val="000000"/>
          <w:shd w:val="clear" w:color="auto" w:fill="FFFFFF"/>
        </w:rPr>
        <w:t>“28.</w:t>
      </w:r>
      <w:r w:rsidRPr="005E141E">
        <w:rPr>
          <w:i/>
          <w:iCs/>
          <w:color w:val="000000"/>
          <w:shd w:val="clear" w:color="auto" w:fill="FFFFFF"/>
          <w:vertAlign w:val="superscript"/>
        </w:rPr>
        <w:t>1</w:t>
      </w:r>
      <w:r w:rsidRPr="005E141E">
        <w:rPr>
          <w:iCs/>
          <w:color w:val="000000"/>
          <w:shd w:val="clear" w:color="auto" w:fill="FFFFFF"/>
        </w:rPr>
        <w:t xml:space="preserve"> </w:t>
      </w:r>
      <w:r w:rsidRPr="004664EA">
        <w:rPr>
          <w:i/>
          <w:iCs/>
          <w:color w:val="000000"/>
          <w:shd w:val="clear" w:color="auto" w:fill="FFFFFF"/>
        </w:rPr>
        <w:t xml:space="preserve">Lietotājam ir pienākums pēc </w:t>
      </w:r>
      <w:r w:rsidRPr="00BD126E">
        <w:rPr>
          <w:i/>
          <w:iCs/>
          <w:lang w:eastAsia="lv-LV"/>
        </w:rPr>
        <w:t>piegādātāja</w:t>
      </w:r>
      <w:r w:rsidRPr="005E141E">
        <w:rPr>
          <w:i/>
          <w:iCs/>
          <w:lang w:eastAsia="lv-LV"/>
        </w:rPr>
        <w:t xml:space="preserve"> pieprasījuma</w:t>
      </w:r>
      <w:r>
        <w:rPr>
          <w:i/>
          <w:iCs/>
          <w:lang w:eastAsia="lv-LV"/>
        </w:rPr>
        <w:t xml:space="preserve"> sniegt informāciju par </w:t>
      </w:r>
      <w:r>
        <w:rPr>
          <w:i/>
          <w:iCs/>
          <w:color w:val="000000"/>
          <w:shd w:val="clear" w:color="auto" w:fill="FFFFFF"/>
        </w:rPr>
        <w:t>atsevišķu daudzdzīvokļu mājas īpašnieku parādiem un parādu piedziņas procesiem.”</w:t>
      </w:r>
    </w:p>
    <w:p w14:paraId="3B96077A" w14:textId="77777777" w:rsidR="00B1153A" w:rsidRPr="00577717" w:rsidRDefault="00B1153A" w:rsidP="00B1153A">
      <w:pPr>
        <w:ind w:firstLine="720"/>
        <w:jc w:val="both"/>
        <w:rPr>
          <w:iCs/>
          <w:lang w:eastAsia="lv-LV"/>
        </w:rPr>
      </w:pPr>
      <w:r w:rsidRPr="00577717">
        <w:rPr>
          <w:iCs/>
          <w:lang w:eastAsia="lv-LV"/>
        </w:rPr>
        <w:t xml:space="preserve">Papildus </w:t>
      </w:r>
      <w:r>
        <w:rPr>
          <w:iCs/>
          <w:lang w:eastAsia="lv-LV"/>
        </w:rPr>
        <w:t xml:space="preserve">Sabiedrība ierosina paredzēt Noteikumos, ka </w:t>
      </w:r>
      <w:r w:rsidRPr="00577717">
        <w:rPr>
          <w:iCs/>
          <w:lang w:eastAsia="lv-LV"/>
        </w:rPr>
        <w:t>pakalpojumu rēķinos</w:t>
      </w:r>
      <w:r>
        <w:rPr>
          <w:iCs/>
          <w:lang w:eastAsia="lv-LV"/>
        </w:rPr>
        <w:t xml:space="preserve">, kas tiek sagatavoti atsevišķiem daudzdzīvokļu mājas īpašniekiem, jānorāda </w:t>
      </w:r>
      <w:r w:rsidRPr="00577717">
        <w:rPr>
          <w:iCs/>
          <w:lang w:eastAsia="lv-LV"/>
        </w:rPr>
        <w:t xml:space="preserve">informācija </w:t>
      </w:r>
      <w:r>
        <w:rPr>
          <w:iCs/>
          <w:lang w:eastAsia="lv-LV"/>
        </w:rPr>
        <w:t xml:space="preserve">par atsevišķa dzīvojamās mājas īpašnieka un </w:t>
      </w:r>
      <w:r w:rsidRPr="00577717">
        <w:rPr>
          <w:iCs/>
          <w:lang w:eastAsia="lv-LV"/>
        </w:rPr>
        <w:t>dzīvojamās mājas</w:t>
      </w:r>
      <w:r>
        <w:rPr>
          <w:iCs/>
          <w:lang w:eastAsia="lv-LV"/>
        </w:rPr>
        <w:t xml:space="preserve"> īpašnieku</w:t>
      </w:r>
      <w:r w:rsidRPr="00577717">
        <w:rPr>
          <w:iCs/>
          <w:lang w:eastAsia="lv-LV"/>
        </w:rPr>
        <w:t xml:space="preserve"> kopējo </w:t>
      </w:r>
      <w:r>
        <w:rPr>
          <w:iCs/>
          <w:lang w:eastAsia="lv-LV"/>
        </w:rPr>
        <w:t xml:space="preserve">siltumenerģijas pakalpojumu </w:t>
      </w:r>
      <w:r w:rsidRPr="00577717">
        <w:rPr>
          <w:iCs/>
          <w:lang w:eastAsia="lv-LV"/>
        </w:rPr>
        <w:t xml:space="preserve">parādu par </w:t>
      </w:r>
      <w:r>
        <w:rPr>
          <w:iCs/>
          <w:lang w:eastAsia="lv-LV"/>
        </w:rPr>
        <w:t>iepriekšējiem periodiem, vienlaikus brīdinot par parāda piedziņu tā nesamaksāšanas gadījumā. Tādējādi tiktu nodrošināta regulāra dzīvojamās mājas īpašnieku informēšana. Sabiedrība rēķinos klientiem jau šobrīd iekļauj šādu informāciju.</w:t>
      </w:r>
    </w:p>
    <w:p w14:paraId="05A9A4EC" w14:textId="77777777" w:rsidR="00B1153A" w:rsidRPr="008E59B1" w:rsidRDefault="00B1153A" w:rsidP="00B1153A">
      <w:pPr>
        <w:ind w:firstLine="720"/>
        <w:jc w:val="both"/>
        <w:rPr>
          <w:u w:val="single"/>
          <w:shd w:val="clear" w:color="auto" w:fill="FFFFFF"/>
        </w:rPr>
      </w:pPr>
      <w:r w:rsidRPr="005177A8">
        <w:rPr>
          <w:color w:val="000000"/>
          <w:u w:val="single"/>
          <w:shd w:val="clear" w:color="auto" w:fill="FFFFFF"/>
        </w:rPr>
        <w:t xml:space="preserve">2. Par </w:t>
      </w:r>
      <w:r w:rsidRPr="005177A8">
        <w:rPr>
          <w:u w:val="single"/>
          <w:shd w:val="clear" w:color="auto" w:fill="FFFFFF"/>
        </w:rPr>
        <w:t>Noteikumu grozījumu projekta 5. punktā ietverto Noteikumu 36. apakšpunktu.</w:t>
      </w:r>
    </w:p>
    <w:p w14:paraId="58289DCB" w14:textId="77777777" w:rsidR="00B1153A" w:rsidRDefault="00B1153A" w:rsidP="00B1153A">
      <w:pPr>
        <w:tabs>
          <w:tab w:val="left" w:pos="851"/>
          <w:tab w:val="left" w:pos="1985"/>
          <w:tab w:val="left" w:pos="4820"/>
          <w:tab w:val="left" w:pos="5670"/>
        </w:tabs>
        <w:ind w:firstLine="720"/>
        <w:jc w:val="both"/>
        <w:rPr>
          <w:shd w:val="clear" w:color="auto" w:fill="FFFFFF"/>
        </w:rPr>
      </w:pPr>
      <w:r w:rsidRPr="005F7BC3">
        <w:rPr>
          <w:shd w:val="clear" w:color="auto" w:fill="FFFFFF"/>
        </w:rPr>
        <w:t>Šobrīd Noteikumu grozījumu projekta 5. punkts paredz mainīt termiņu, kādā lietotājam jānorēķinās ar siltumenerģijas piegādātāju</w:t>
      </w:r>
      <w:r>
        <w:rPr>
          <w:shd w:val="clear" w:color="auto" w:fill="FFFFFF"/>
        </w:rPr>
        <w:t xml:space="preserve"> – nākamā mēneša 20. datuma vietā paredzot 25. datumu. Sabiedrības ieskatā, Noteikumu 36.</w:t>
      </w:r>
      <w:r>
        <w:t> </w:t>
      </w:r>
      <w:r>
        <w:rPr>
          <w:shd w:val="clear" w:color="auto" w:fill="FFFFFF"/>
        </w:rPr>
        <w:t xml:space="preserve">punktā kā galīgais siltumenerģijas pakalpojumu </w:t>
      </w:r>
      <w:r w:rsidRPr="006D45A3">
        <w:rPr>
          <w:shd w:val="clear" w:color="auto" w:fill="FFFFFF"/>
        </w:rPr>
        <w:t xml:space="preserve">norēķinu termiņš ir nosakāms </w:t>
      </w:r>
      <w:r>
        <w:rPr>
          <w:shd w:val="clear" w:color="auto" w:fill="FFFFFF"/>
        </w:rPr>
        <w:t xml:space="preserve">nākamā </w:t>
      </w:r>
      <w:r w:rsidRPr="006D45A3">
        <w:rPr>
          <w:shd w:val="clear" w:color="auto" w:fill="FFFFFF"/>
        </w:rPr>
        <w:t>mēneša pēdējais datums.</w:t>
      </w:r>
    </w:p>
    <w:p w14:paraId="293A4718" w14:textId="77777777" w:rsidR="00B1153A" w:rsidRDefault="00B1153A" w:rsidP="00B1153A">
      <w:pPr>
        <w:tabs>
          <w:tab w:val="left" w:pos="851"/>
          <w:tab w:val="left" w:pos="1985"/>
          <w:tab w:val="left" w:pos="4820"/>
          <w:tab w:val="left" w:pos="5670"/>
        </w:tabs>
        <w:ind w:firstLine="720"/>
        <w:jc w:val="both"/>
      </w:pPr>
      <w:r w:rsidRPr="006D45A3">
        <w:rPr>
          <w:color w:val="000000"/>
          <w:shd w:val="clear" w:color="auto" w:fill="FFFFFF"/>
        </w:rPr>
        <w:lastRenderedPageBreak/>
        <w:t xml:space="preserve"> </w:t>
      </w:r>
      <w:r w:rsidRPr="006D45A3">
        <w:rPr>
          <w:noProof/>
        </w:rPr>
        <w:t xml:space="preserve">Minētais </w:t>
      </w:r>
      <w:r>
        <w:rPr>
          <w:noProof/>
        </w:rPr>
        <w:t xml:space="preserve">nodrošinātu dzīvokļu īpašnieku </w:t>
      </w:r>
      <w:r w:rsidRPr="006D45A3">
        <w:rPr>
          <w:noProof/>
        </w:rPr>
        <w:t>leģitīmo interesi savlaicīgi saņemt rēķinu par patērēto siltumenerģiju, tādējādi dodot iespēju plānot savu budžetu, kā arī, nepieciešamības gadījumā pārbaudot rēķinā norādīto pozīciju pamatotību. Minētais īpaši aktuāls pašreizējā situāc</w:t>
      </w:r>
      <w:r>
        <w:rPr>
          <w:noProof/>
        </w:rPr>
        <w:t>ijā, kad sagaidāms straujš</w:t>
      </w:r>
      <w:r w:rsidRPr="006D45A3">
        <w:rPr>
          <w:noProof/>
        </w:rPr>
        <w:t xml:space="preserve"> siltumenerģijas tarifu pieaugums. </w:t>
      </w:r>
      <w:r>
        <w:t>Norādāms, ka akciju sabiedrība</w:t>
      </w:r>
      <w:r w:rsidRPr="006D45A3">
        <w:t> “RĪGAS SILTUMS” ir izlēmusi atjaunot nokavējuma procentu un līgumsodu aprēķināšanu, kas bija apturēta 2021./2022.</w:t>
      </w:r>
      <w:r>
        <w:t> </w:t>
      </w:r>
      <w:r w:rsidRPr="006D45A3">
        <w:t xml:space="preserve">gada ziemas sezonā valstī izsludinātā ārkārtas stāvokļa dēļ. </w:t>
      </w:r>
    </w:p>
    <w:p w14:paraId="3BC62F19" w14:textId="77777777" w:rsidR="00B1153A" w:rsidRDefault="00B1153A" w:rsidP="00B1153A">
      <w:pPr>
        <w:tabs>
          <w:tab w:val="left" w:pos="851"/>
          <w:tab w:val="left" w:pos="1985"/>
          <w:tab w:val="left" w:pos="4820"/>
          <w:tab w:val="left" w:pos="5670"/>
        </w:tabs>
        <w:ind w:firstLine="720"/>
        <w:jc w:val="both"/>
      </w:pPr>
      <w:r w:rsidRPr="009C38D4">
        <w:t xml:space="preserve">Saskaņā ar Rīgas domes 2017. gada 18. oktobra saistošajos noteikumos Nr. 4 “Par sabiedrisko ūdenssaimniecības pakalpojumu līguma noteikumiem, tā slēgšanas, grozīšanas un izbeigšanas kārtību” iekļauto tipveida līgumu SIA “Rīgas ūdens” ir </w:t>
      </w:r>
      <w:proofErr w:type="spellStart"/>
      <w:r w:rsidRPr="009C38D4">
        <w:t>jānosūta</w:t>
      </w:r>
      <w:proofErr w:type="spellEnd"/>
      <w:r w:rsidRPr="009C38D4">
        <w:t xml:space="preserve"> rēķins </w:t>
      </w:r>
      <w:r>
        <w:t>Sabiedrībai</w:t>
      </w:r>
      <w:r w:rsidRPr="009C38D4">
        <w:t xml:space="preserve"> līdz mēneša 15. </w:t>
      </w:r>
      <w:r w:rsidRPr="00696F1B">
        <w:t xml:space="preserve">datumam (šobrīd ar SIA “Rīgas ūdens” panākta vienošanās par rēķina iesniegšanu mēneša 5. datumā), bet rēķina apmaksa ir veicama līdz norēķinu periodam sekojošā mēneša 25. datumam. </w:t>
      </w:r>
      <w:r>
        <w:t xml:space="preserve">Pēc </w:t>
      </w:r>
      <w:r w:rsidRPr="00696F1B">
        <w:t>Sabiedrība</w:t>
      </w:r>
      <w:r>
        <w:t>s ierosinājuma</w:t>
      </w:r>
      <w:r w:rsidRPr="00696F1B">
        <w:t xml:space="preserve"> Rīgas dome izstrādājusi grozījumus minētajos noteikumos, paredzot</w:t>
      </w:r>
      <w:r>
        <w:t>, ka r</w:t>
      </w:r>
      <w:r w:rsidRPr="0053051E">
        <w:rPr>
          <w:noProof/>
        </w:rPr>
        <w:t xml:space="preserve">ēķinu par kārtējo norēķinu periodu </w:t>
      </w:r>
      <w:r>
        <w:rPr>
          <w:noProof/>
        </w:rPr>
        <w:t>ūdenssaimniecības p</w:t>
      </w:r>
      <w:r w:rsidRPr="0053051E">
        <w:rPr>
          <w:noProof/>
        </w:rPr>
        <w:t xml:space="preserve">akalpojumu sniedzējs nosūta līdz norēķina periodam sekojošā mēneša 10. datumam, </w:t>
      </w:r>
      <w:r>
        <w:rPr>
          <w:noProof/>
        </w:rPr>
        <w:t>bet pakalpojuma lietotājam tas jāsamaksā</w:t>
      </w:r>
      <w:r w:rsidRPr="0053051E">
        <w:rPr>
          <w:noProof/>
        </w:rPr>
        <w:t xml:space="preserve"> līdz norēķinu periodam sekojošā mēneša pēdējam datumam</w:t>
      </w:r>
      <w:r>
        <w:rPr>
          <w:noProof/>
        </w:rPr>
        <w:t>.</w:t>
      </w:r>
    </w:p>
    <w:p w14:paraId="3D09A195" w14:textId="77777777" w:rsidR="00B1153A" w:rsidRDefault="00B1153A" w:rsidP="00B1153A">
      <w:pPr>
        <w:tabs>
          <w:tab w:val="left" w:pos="851"/>
          <w:tab w:val="left" w:pos="1985"/>
          <w:tab w:val="left" w:pos="4820"/>
          <w:tab w:val="left" w:pos="5670"/>
        </w:tabs>
        <w:ind w:firstLine="720"/>
        <w:jc w:val="both"/>
      </w:pPr>
      <w:r w:rsidRPr="009C38D4">
        <w:t xml:space="preserve">Savukārt norēķinos ar atkritumu </w:t>
      </w:r>
      <w:proofErr w:type="spellStart"/>
      <w:r w:rsidRPr="009C38D4">
        <w:t>apsaimniekotāju</w:t>
      </w:r>
      <w:proofErr w:type="spellEnd"/>
      <w:r w:rsidRPr="009C38D4">
        <w:t xml:space="preserve"> sabiedrībām, saskaņā ar noslēgto līgumu noteikumiem, ko </w:t>
      </w:r>
      <w:r>
        <w:t>Sabiedrība noslēgusi</w:t>
      </w:r>
      <w:r w:rsidRPr="009C38D4">
        <w:t xml:space="preserve"> dzīvojamo māju īpašnieku (dzīvokļu īpašnieku) vārdā</w:t>
      </w:r>
      <w:r>
        <w:t xml:space="preserve"> saskaņā ar pašvaldības veikta iepirkuma rezultātu noteikumiem</w:t>
      </w:r>
      <w:r w:rsidRPr="009C38D4">
        <w:t xml:space="preserve">, rēķini par iepriekšējā mēnesī faktiski sniegtajiem pakalpojumiem arī tiek izrakstīti līdz attiecīga mēneša 5. piektajam datumam, bet apmaksas pienākums ir </w:t>
      </w:r>
      <w:r w:rsidRPr="000D4ECB">
        <w:t>līdz nākamā mēneša 1. datumam.</w:t>
      </w:r>
    </w:p>
    <w:p w14:paraId="3588A041" w14:textId="77777777" w:rsidR="00B1153A" w:rsidRDefault="00B1153A" w:rsidP="00B1153A">
      <w:pPr>
        <w:tabs>
          <w:tab w:val="left" w:pos="851"/>
          <w:tab w:val="left" w:pos="1985"/>
          <w:tab w:val="left" w:pos="4820"/>
          <w:tab w:val="left" w:pos="5670"/>
        </w:tabs>
        <w:ind w:firstLine="720"/>
        <w:jc w:val="both"/>
      </w:pPr>
      <w:r>
        <w:t xml:space="preserve">Sabiedrības ieskatā, pēc iespējas līdzīgāki norēķinu termiņi par dažādiem komunālajiem pakalpojumiem nodrošinātu pakalpojumu lietotājiem vienkāršāku un pārskatāmāku norēķinu veikšanu un novērstu lieku soda sankciju piemērošanas risku. </w:t>
      </w:r>
    </w:p>
    <w:p w14:paraId="5578B042" w14:textId="58FE8629" w:rsidR="00B1153A" w:rsidRPr="00141391" w:rsidRDefault="00B1153A" w:rsidP="00B1153A">
      <w:pPr>
        <w:tabs>
          <w:tab w:val="left" w:pos="851"/>
          <w:tab w:val="left" w:pos="1985"/>
          <w:tab w:val="left" w:pos="4820"/>
          <w:tab w:val="left" w:pos="5670"/>
        </w:tabs>
        <w:ind w:firstLine="720"/>
        <w:jc w:val="both"/>
      </w:pPr>
      <w:r w:rsidRPr="005E141E">
        <w:rPr>
          <w:shd w:val="clear" w:color="auto" w:fill="FFFFFF"/>
        </w:rPr>
        <w:t xml:space="preserve">Biedrības "Latvijas </w:t>
      </w:r>
      <w:proofErr w:type="spellStart"/>
      <w:r w:rsidRPr="005E141E">
        <w:rPr>
          <w:shd w:val="clear" w:color="auto" w:fill="FFFFFF"/>
        </w:rPr>
        <w:t>siltumuzņēmumu</w:t>
      </w:r>
      <w:proofErr w:type="spellEnd"/>
      <w:r w:rsidRPr="005E141E">
        <w:rPr>
          <w:shd w:val="clear" w:color="auto" w:fill="FFFFFF"/>
        </w:rPr>
        <w:t xml:space="preserve"> asociācija"</w:t>
      </w:r>
      <w:r>
        <w:rPr>
          <w:shd w:val="clear" w:color="auto" w:fill="FFFFFF"/>
        </w:rPr>
        <w:t xml:space="preserve"> 4. iebildumā </w:t>
      </w:r>
      <w:r w:rsidRPr="00141391">
        <w:rPr>
          <w:shd w:val="clear" w:color="auto" w:fill="FFFFFF"/>
        </w:rPr>
        <w:t xml:space="preserve">norādīts, ka </w:t>
      </w:r>
      <w:r w:rsidRPr="00141391">
        <w:rPr>
          <w:lang w:eastAsia="lv-LV"/>
        </w:rPr>
        <w:t>nav ņemts vērā siltumenerģijas piegādātāju iebildums, ka samaksas termiņa pagarinājums uzliek papildus slogu centralizētās siltumapgādes (CSA) uzņēmumiem, kam obligāti jāveic samaksa noteiktajā termiņā par piegādātajiem energoresursiem. Savlaicīgi nesaņemot maksu par nodrošināto pakalpojumu, neesot iespējams norēķināties par saņemtajiem energoresursiem un tādējādi var tikt apdraudēta pakalpojuma nodrošināšana un CSA uzņēmumu maksātspēja, jo būs jāņem kredīti, lai veiktu norēķinus ar piegādātājiem. Sabiedrība vērš uzmanību, ka minētie apgalvojumi nav pamatoti ar konkrētiem faktiem un pi</w:t>
      </w:r>
      <w:r>
        <w:rPr>
          <w:lang w:eastAsia="lv-LV"/>
        </w:rPr>
        <w:t>emēriem</w:t>
      </w:r>
      <w:r w:rsidRPr="00141391">
        <w:rPr>
          <w:lang w:eastAsia="lv-LV"/>
        </w:rPr>
        <w:t>, konkrētiem līgumiem, līdz ar to nevar pārliecināties par to pamatotību.</w:t>
      </w:r>
      <w:r w:rsidRPr="006D1591">
        <w:t xml:space="preserve"> </w:t>
      </w:r>
      <w:r>
        <w:t>Saskaņā ar jau esošo kārtību pārvaldnieka pienākums ir nekavējoties norēķināties ar</w:t>
      </w:r>
      <w:r w:rsidR="00380946">
        <w:t xml:space="preserve"> pakalpojuma sniedzēju </w:t>
      </w:r>
      <w:r w:rsidR="00025FB0">
        <w:t>dzīvokļu</w:t>
      </w:r>
      <w:r w:rsidR="00380946">
        <w:t xml:space="preserve"> īpašnieku </w:t>
      </w:r>
      <w:r>
        <w:t xml:space="preserve">veikto maksājumu apmērā, kā rezultātā būtiska daļa Sabiedrības klientu – </w:t>
      </w:r>
      <w:r w:rsidR="00025FB0">
        <w:t>dzīvokļu</w:t>
      </w:r>
      <w:r w:rsidR="00380946">
        <w:t xml:space="preserve"> īpašnieku </w:t>
      </w:r>
      <w:r>
        <w:t>– veic norēķinus un savukārt Sabiedrība veic norēķinus ar pakalpojumu sniedzēju krietni ātrāk par minēto galējo apmaksas termiņu, tomēr daļa klientu izmanto iespēju norēķināties arī atbilstoši rēķinā norādītajam galējam apmaksas termiņam, kas sakrīt ar termiņu pārējo pakalpojumu apmaksai.</w:t>
      </w:r>
    </w:p>
    <w:p w14:paraId="120EBB3B" w14:textId="77777777" w:rsidR="00B1153A" w:rsidRDefault="00B1153A" w:rsidP="00B1153A">
      <w:pPr>
        <w:ind w:firstLine="720"/>
        <w:jc w:val="both"/>
        <w:rPr>
          <w:color w:val="000000"/>
          <w:shd w:val="clear" w:color="auto" w:fill="FFFFFF"/>
        </w:rPr>
      </w:pPr>
      <w:r>
        <w:rPr>
          <w:color w:val="000000"/>
          <w:u w:val="single"/>
          <w:shd w:val="clear" w:color="auto" w:fill="FFFFFF"/>
        </w:rPr>
        <w:t>3.</w:t>
      </w:r>
      <w:r w:rsidRPr="005177A8">
        <w:rPr>
          <w:color w:val="000000"/>
          <w:u w:val="single"/>
          <w:shd w:val="clear" w:color="auto" w:fill="FFFFFF"/>
        </w:rPr>
        <w:t xml:space="preserve"> </w:t>
      </w:r>
      <w:r>
        <w:rPr>
          <w:color w:val="000000"/>
          <w:u w:val="single"/>
          <w:shd w:val="clear" w:color="auto" w:fill="FFFFFF"/>
        </w:rPr>
        <w:t>Par neatgūstamo parādu regulējumu</w:t>
      </w:r>
    </w:p>
    <w:p w14:paraId="5A318572" w14:textId="77777777" w:rsidR="00B1153A" w:rsidRDefault="00B1153A" w:rsidP="00B1153A">
      <w:pPr>
        <w:ind w:firstLine="720"/>
        <w:jc w:val="both"/>
        <w:rPr>
          <w:color w:val="000000"/>
          <w:shd w:val="clear" w:color="auto" w:fill="FFFFFF"/>
        </w:rPr>
      </w:pPr>
      <w:r>
        <w:rPr>
          <w:color w:val="000000"/>
          <w:shd w:val="clear" w:color="auto" w:fill="FFFFFF"/>
        </w:rPr>
        <w:t>Ņemot vērā, ka Ekonomikas ministrija izstrādā jaunu Dzīvojamo māju pārvaldīšanas likumu, Sabiedrība papildus sniedz priekšlikumus par neatgūstamo parādu regulējumu.</w:t>
      </w:r>
    </w:p>
    <w:p w14:paraId="38D95D67" w14:textId="77777777" w:rsidR="00B1153A" w:rsidRPr="00DF421B" w:rsidRDefault="00B1153A" w:rsidP="00B1153A">
      <w:pPr>
        <w:ind w:firstLine="720"/>
        <w:jc w:val="both"/>
        <w:rPr>
          <w:color w:val="000000"/>
          <w:shd w:val="clear" w:color="auto" w:fill="FFFFFF"/>
        </w:rPr>
      </w:pPr>
      <w:r>
        <w:rPr>
          <w:color w:val="000000"/>
          <w:shd w:val="clear" w:color="auto" w:fill="FFFFFF"/>
        </w:rPr>
        <w:t>Sabiedrība ierosina izteikt Dzīvojamo māju pārvaldīšanas likuma 14. panta ceturto ar indeksu “3” daļu šādā redakcijā: “</w:t>
      </w:r>
      <w:r w:rsidRPr="00E802EE">
        <w:rPr>
          <w:i/>
          <w:color w:val="000000"/>
          <w:shd w:val="clear" w:color="auto" w:fill="FFFFFF"/>
        </w:rPr>
        <w:t xml:space="preserve">Ja konstatēta </w:t>
      </w:r>
      <w:r>
        <w:rPr>
          <w:i/>
          <w:color w:val="000000"/>
          <w:shd w:val="clear" w:color="auto" w:fill="FFFFFF"/>
        </w:rPr>
        <w:t>dzīvojamās mājas</w:t>
      </w:r>
      <w:r w:rsidRPr="00E802EE">
        <w:rPr>
          <w:i/>
          <w:color w:val="000000"/>
          <w:shd w:val="clear" w:color="auto" w:fill="FFFFFF"/>
        </w:rPr>
        <w:t xml:space="preserve"> īpašnieka, tā </w:t>
      </w:r>
      <w:r w:rsidRPr="009A6C3A">
        <w:rPr>
          <w:i/>
          <w:color w:val="000000"/>
          <w:shd w:val="clear" w:color="auto" w:fill="FFFFFF"/>
        </w:rPr>
        <w:t>valdītāja</w:t>
      </w:r>
      <w:r w:rsidRPr="00E802EE">
        <w:rPr>
          <w:i/>
          <w:color w:val="000000"/>
          <w:shd w:val="clear" w:color="auto" w:fill="FFFFFF"/>
        </w:rPr>
        <w:t xml:space="preserve"> maksātnespēja, likvi</w:t>
      </w:r>
      <w:r>
        <w:rPr>
          <w:i/>
          <w:color w:val="000000"/>
          <w:shd w:val="clear" w:color="auto" w:fill="FFFFFF"/>
        </w:rPr>
        <w:t xml:space="preserve">dācija, persona ir mirusi vai </w:t>
      </w:r>
      <w:r w:rsidRPr="00E802EE">
        <w:rPr>
          <w:i/>
          <w:color w:val="000000"/>
          <w:shd w:val="clear" w:color="auto" w:fill="FFFFFF"/>
        </w:rPr>
        <w:t>ar obligāto izdevumu un citu ar mā</w:t>
      </w:r>
      <w:r>
        <w:rPr>
          <w:i/>
          <w:color w:val="000000"/>
          <w:shd w:val="clear" w:color="auto" w:fill="FFFFFF"/>
        </w:rPr>
        <w:t>jas pārvaldīšanu saistītu parādu piedziņa</w:t>
      </w:r>
      <w:r w:rsidRPr="00E802EE">
        <w:rPr>
          <w:i/>
          <w:color w:val="000000"/>
          <w:shd w:val="clear" w:color="auto" w:fill="FFFFFF"/>
        </w:rPr>
        <w:t xml:space="preserve"> nav bijusi iespējama piecus gadus, pārvaldnieks paziņo par to pakalpojuma sniedzējam, pievienojot attiecīgo informāciju apliecinošus dokumentus".</w:t>
      </w:r>
    </w:p>
    <w:p w14:paraId="05E0FCFB" w14:textId="77777777" w:rsidR="00B1153A" w:rsidRDefault="00B1153A" w:rsidP="00B1153A">
      <w:pPr>
        <w:ind w:firstLine="720"/>
        <w:jc w:val="both"/>
        <w:rPr>
          <w:color w:val="000000"/>
          <w:shd w:val="clear" w:color="auto" w:fill="FFFFFF"/>
        </w:rPr>
      </w:pPr>
      <w:r>
        <w:rPr>
          <w:color w:val="000000"/>
          <w:shd w:val="clear" w:color="auto" w:fill="FFFFFF"/>
        </w:rPr>
        <w:t xml:space="preserve">Lai mazinātu normas interpretācijas iespējas, Dzīvojamo māju pārvaldīšanas likumā precizējams parāda </w:t>
      </w:r>
      <w:proofErr w:type="spellStart"/>
      <w:r>
        <w:rPr>
          <w:color w:val="000000"/>
          <w:shd w:val="clear" w:color="auto" w:fill="FFFFFF"/>
        </w:rPr>
        <w:t>neatgūstamības</w:t>
      </w:r>
      <w:proofErr w:type="spellEnd"/>
      <w:r>
        <w:rPr>
          <w:color w:val="000000"/>
          <w:shd w:val="clear" w:color="auto" w:fill="FFFFFF"/>
        </w:rPr>
        <w:t xml:space="preserve"> apliecinošo dokumentu apjoms:</w:t>
      </w:r>
      <w:r w:rsidRPr="009A6C3A">
        <w:rPr>
          <w:color w:val="000000"/>
          <w:shd w:val="clear" w:color="auto" w:fill="FFFFFF"/>
        </w:rPr>
        <w:t xml:space="preserve"> </w:t>
      </w:r>
      <w:r>
        <w:rPr>
          <w:color w:val="000000"/>
          <w:shd w:val="clear" w:color="auto" w:fill="FFFFFF"/>
        </w:rPr>
        <w:t xml:space="preserve">1) </w:t>
      </w:r>
      <w:r w:rsidRPr="009A6C3A">
        <w:rPr>
          <w:color w:val="000000"/>
          <w:shd w:val="clear" w:color="auto" w:fill="FFFFFF"/>
        </w:rPr>
        <w:t xml:space="preserve">maksātnespējas gadījumā – dokuments, kas apliecina maksātnespējas faktu (izziņa no attiecīga reģistra) un tās </w:t>
      </w:r>
      <w:r w:rsidRPr="004664EA">
        <w:rPr>
          <w:color w:val="000000" w:themeColor="text1"/>
          <w:shd w:val="clear" w:color="auto" w:fill="FFFFFF"/>
        </w:rPr>
        <w:t>izbeigšanu (izziņa no attiecīg</w:t>
      </w:r>
      <w:r>
        <w:rPr>
          <w:color w:val="000000" w:themeColor="text1"/>
          <w:shd w:val="clear" w:color="auto" w:fill="FFFFFF"/>
        </w:rPr>
        <w:t>a reģistra vai tiesas nolēmums);</w:t>
      </w:r>
      <w:r w:rsidRPr="004664EA">
        <w:rPr>
          <w:color w:val="000000" w:themeColor="text1"/>
          <w:shd w:val="clear" w:color="auto" w:fill="FFFFFF"/>
        </w:rPr>
        <w:t xml:space="preserve"> 2)</w:t>
      </w:r>
      <w:r w:rsidRPr="004664EA">
        <w:rPr>
          <w:color w:val="000000" w:themeColor="text1"/>
        </w:rPr>
        <w:t xml:space="preserve"> likvidācijas gadījumā – dokuments, kas apliecina juridiskas personas likvidāciju un izslēgšanu no komercreģistra </w:t>
      </w:r>
      <w:r w:rsidRPr="004664EA">
        <w:rPr>
          <w:color w:val="000000" w:themeColor="text1"/>
        </w:rPr>
        <w:lastRenderedPageBreak/>
        <w:t>(izziņa no attiecīga reģistra)</w:t>
      </w:r>
      <w:r>
        <w:rPr>
          <w:color w:val="000000" w:themeColor="text1"/>
        </w:rPr>
        <w:t>;</w:t>
      </w:r>
      <w:r w:rsidRPr="004664EA">
        <w:rPr>
          <w:color w:val="000000" w:themeColor="text1"/>
          <w:shd w:val="clear" w:color="auto" w:fill="FFFFFF"/>
        </w:rPr>
        <w:t> 3) personas miršanas gadījumā - dokuments, kas apliecina personas miršanas faktu (izziņa no attiecīga reģistra</w:t>
      </w:r>
      <w:r w:rsidRPr="009A6C3A">
        <w:rPr>
          <w:color w:val="000000"/>
          <w:shd w:val="clear" w:color="auto" w:fill="FFFFFF"/>
        </w:rPr>
        <w:t xml:space="preserve">). </w:t>
      </w:r>
      <w:r>
        <w:rPr>
          <w:color w:val="000000"/>
          <w:shd w:val="clear" w:color="auto" w:fill="FFFFFF"/>
        </w:rPr>
        <w:t>Visos</w:t>
      </w:r>
      <w:r w:rsidRPr="009A6C3A">
        <w:rPr>
          <w:color w:val="000000"/>
          <w:shd w:val="clear" w:color="auto" w:fill="FFFFFF"/>
        </w:rPr>
        <w:t xml:space="preserve"> gadījumos kreditora neiekļaušana kreditoru reģistrā nemaina faktu par parāda piedziņas neiespējamību un </w:t>
      </w:r>
      <w:proofErr w:type="spellStart"/>
      <w:r w:rsidRPr="009A6C3A">
        <w:rPr>
          <w:color w:val="000000"/>
          <w:shd w:val="clear" w:color="auto" w:fill="FFFFFF"/>
        </w:rPr>
        <w:t>neatgūstamību</w:t>
      </w:r>
      <w:proofErr w:type="spellEnd"/>
      <w:r>
        <w:rPr>
          <w:color w:val="000000"/>
          <w:shd w:val="clear" w:color="auto" w:fill="FFFFFF"/>
        </w:rPr>
        <w:t>, kā rezultātā parāds ir norakstāms</w:t>
      </w:r>
      <w:r w:rsidRPr="009A6C3A">
        <w:rPr>
          <w:color w:val="000000"/>
          <w:shd w:val="clear" w:color="auto" w:fill="FFFFFF"/>
        </w:rPr>
        <w:t>.</w:t>
      </w:r>
      <w:r w:rsidRPr="009A6C3A">
        <w:rPr>
          <w:shd w:val="clear" w:color="auto" w:fill="FFFFFF"/>
        </w:rPr>
        <w:t xml:space="preserve"> </w:t>
      </w:r>
      <w:r w:rsidRPr="009A6C3A">
        <w:rPr>
          <w:color w:val="000000"/>
          <w:shd w:val="clear" w:color="auto" w:fill="FFFFFF"/>
        </w:rPr>
        <w:t>Ja par mirušās personas atstāto mantojumu nav izsludināts mantojums un/vai mantojuma atstājējam nav manta</w:t>
      </w:r>
      <w:r>
        <w:rPr>
          <w:color w:val="000000"/>
          <w:shd w:val="clear" w:color="auto" w:fill="FFFFFF"/>
        </w:rPr>
        <w:t>s</w:t>
      </w:r>
      <w:r w:rsidRPr="009A6C3A">
        <w:rPr>
          <w:color w:val="000000"/>
          <w:shd w:val="clear" w:color="auto" w:fill="FFFFFF"/>
        </w:rPr>
        <w:t>, ekonomis</w:t>
      </w:r>
      <w:r>
        <w:rPr>
          <w:color w:val="000000"/>
          <w:shd w:val="clear" w:color="auto" w:fill="FFFFFF"/>
        </w:rPr>
        <w:t>ku un lietderības apsvērumu dēļ</w:t>
      </w:r>
      <w:r w:rsidRPr="009A6C3A">
        <w:rPr>
          <w:color w:val="000000"/>
          <w:shd w:val="clear" w:color="auto" w:fill="FFFFFF"/>
        </w:rPr>
        <w:t xml:space="preserve"> kreditoram nav pienākums lūgt</w:t>
      </w:r>
      <w:r>
        <w:rPr>
          <w:color w:val="000000"/>
          <w:shd w:val="clear" w:color="auto" w:fill="FFFFFF"/>
        </w:rPr>
        <w:t xml:space="preserve"> notāram atklāt mantojuma lietu; 4) piedziņas neiespējamības gadījumā - zvērināta tiesu izpildītāja sagatavots akts, kas apliecina laika periodu pieci gadi, kurā piedziņa nav bijusi iespējama. Piecu gadu periods ir samērīgs termiņš starp </w:t>
      </w:r>
      <w:proofErr w:type="spellStart"/>
      <w:r>
        <w:rPr>
          <w:color w:val="000000"/>
          <w:shd w:val="clear" w:color="auto" w:fill="FFFFFF"/>
        </w:rPr>
        <w:t>komercnoilgumu</w:t>
      </w:r>
      <w:proofErr w:type="spellEnd"/>
      <w:r>
        <w:rPr>
          <w:color w:val="000000"/>
          <w:shd w:val="clear" w:color="auto" w:fill="FFFFFF"/>
        </w:rPr>
        <w:t xml:space="preserve"> (trīs gadi) un vispārējos civiltiesisko noilgumu (desmit gadi), ka arī periods, kurā objektīvi izvērtēt personas maksātspēju. </w:t>
      </w:r>
    </w:p>
    <w:p w14:paraId="2355E461" w14:textId="33517FAB" w:rsidR="00B1153A" w:rsidRDefault="00B1153A" w:rsidP="00B1153A">
      <w:pPr>
        <w:ind w:firstLine="720"/>
        <w:jc w:val="both"/>
        <w:rPr>
          <w:color w:val="000000"/>
          <w:shd w:val="clear" w:color="auto" w:fill="FFFFFF"/>
        </w:rPr>
      </w:pPr>
      <w:r>
        <w:rPr>
          <w:color w:val="000000"/>
          <w:shd w:val="clear" w:color="auto" w:fill="FFFFFF"/>
        </w:rPr>
        <w:t>Sabiedrība informē, ka tā turpinās darbu pie normatīvo aktu grozījumu priekšlikumu izstrādes, kuri tiks nosūtīti Ekonomikas ministrijai vai arī pausti izveidotajās darba grupās.</w:t>
      </w:r>
      <w:r w:rsidR="00C53FD2">
        <w:rPr>
          <w:color w:val="000000"/>
          <w:shd w:val="clear" w:color="auto" w:fill="FFFFFF"/>
        </w:rPr>
        <w:t xml:space="preserve"> Atkārtoti </w:t>
      </w:r>
      <w:proofErr w:type="spellStart"/>
      <w:r w:rsidR="00C53FD2">
        <w:rPr>
          <w:color w:val="000000"/>
          <w:shd w:val="clear" w:color="auto" w:fill="FFFFFF"/>
        </w:rPr>
        <w:t>apliecinam</w:t>
      </w:r>
      <w:proofErr w:type="spellEnd"/>
      <w:r w:rsidR="00C53FD2">
        <w:rPr>
          <w:color w:val="000000"/>
          <w:shd w:val="clear" w:color="auto" w:fill="FFFFFF"/>
        </w:rPr>
        <w:t xml:space="preserve"> gatavību piedalīties darba grupu darbā.</w:t>
      </w:r>
    </w:p>
    <w:p w14:paraId="4BE1765D" w14:textId="77777777" w:rsidR="00CA44D3" w:rsidRPr="00CA44D3" w:rsidRDefault="00CA44D3" w:rsidP="00CA44D3">
      <w:pPr>
        <w:ind w:firstLine="720"/>
        <w:jc w:val="both"/>
        <w:rPr>
          <w:color w:val="000000"/>
          <w:shd w:val="clear" w:color="auto" w:fill="FFFFFF"/>
        </w:rPr>
      </w:pPr>
    </w:p>
    <w:p w14:paraId="12E54DBB" w14:textId="01E3BE37" w:rsidR="00604BC2" w:rsidRPr="00F23179" w:rsidRDefault="00604BC2" w:rsidP="00604BC2"/>
    <w:p w14:paraId="1904F373" w14:textId="361E2AA5" w:rsidR="00604BC2" w:rsidRPr="00F23179" w:rsidRDefault="00F23179" w:rsidP="00F23179">
      <w:pPr>
        <w:tabs>
          <w:tab w:val="right" w:pos="9071"/>
        </w:tabs>
      </w:pPr>
      <w:r>
        <w:t xml:space="preserve">Valdes priekšsēdētājs </w:t>
      </w:r>
      <w:r>
        <w:tab/>
        <w:t>R. Neimanis</w:t>
      </w:r>
    </w:p>
    <w:p w14:paraId="03002E98" w14:textId="39082E73" w:rsidR="00604BC2" w:rsidRPr="00F23179" w:rsidRDefault="00604BC2" w:rsidP="00604BC2"/>
    <w:p w14:paraId="09EAB239" w14:textId="0BC3E0EB" w:rsidR="00604BC2" w:rsidRDefault="00604BC2" w:rsidP="00604BC2"/>
    <w:p w14:paraId="0740C751" w14:textId="5977049E" w:rsidR="00F23179" w:rsidRPr="00F23179" w:rsidRDefault="00F23179" w:rsidP="00604BC2">
      <w:pPr>
        <w:rPr>
          <w:sz w:val="20"/>
          <w:szCs w:val="20"/>
        </w:rPr>
      </w:pPr>
      <w:r w:rsidRPr="00F23179">
        <w:rPr>
          <w:sz w:val="20"/>
          <w:szCs w:val="20"/>
        </w:rPr>
        <w:t>Krūmiņa 26352215</w:t>
      </w:r>
    </w:p>
    <w:p w14:paraId="5B2B1922" w14:textId="77777777" w:rsidR="00F23179" w:rsidRDefault="00F23179" w:rsidP="00604BC2"/>
    <w:p w14:paraId="3A0C7F1E" w14:textId="77777777" w:rsidR="00F23179" w:rsidRPr="00F23179" w:rsidRDefault="00F23179" w:rsidP="00604BC2"/>
    <w:p w14:paraId="6744C347" w14:textId="0619EE5A" w:rsidR="00604BC2" w:rsidRPr="00F23179" w:rsidRDefault="00F23179" w:rsidP="00F23179">
      <w:pPr>
        <w:rPr>
          <w:sz w:val="20"/>
          <w:szCs w:val="20"/>
        </w:rPr>
      </w:pPr>
      <w:r w:rsidRPr="00F23179">
        <w:rPr>
          <w:sz w:val="20"/>
          <w:szCs w:val="20"/>
        </w:rPr>
        <w:t xml:space="preserve">ŠIS DOKUMENTS IR ELEKTRONISKI PARAKSTĪTS AR DROŠU ELEKTRONISKO </w:t>
      </w:r>
      <w:r w:rsidRPr="00F23179">
        <w:rPr>
          <w:sz w:val="20"/>
          <w:szCs w:val="20"/>
        </w:rPr>
        <w:br/>
        <w:t>PARAKSTU UN SATUR LAIKA ZĪMOGU</w:t>
      </w:r>
    </w:p>
    <w:sectPr w:rsidR="00604BC2" w:rsidRPr="00F23179" w:rsidSect="00CA44D3">
      <w:footerReference w:type="default" r:id="rId11"/>
      <w:pgSz w:w="11906" w:h="16838"/>
      <w:pgMar w:top="1134" w:right="1134" w:bottom="1134"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F11BC4" w14:textId="77777777" w:rsidR="00306063" w:rsidRDefault="00306063">
      <w:r>
        <w:separator/>
      </w:r>
    </w:p>
  </w:endnote>
  <w:endnote w:type="continuationSeparator" w:id="0">
    <w:p w14:paraId="607F83FE" w14:textId="77777777" w:rsidR="00306063" w:rsidRDefault="00306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364156"/>
      <w:docPartObj>
        <w:docPartGallery w:val="Page Numbers (Bottom of Page)"/>
        <w:docPartUnique/>
      </w:docPartObj>
    </w:sdtPr>
    <w:sdtEndPr>
      <w:rPr>
        <w:noProof/>
      </w:rPr>
    </w:sdtEndPr>
    <w:sdtContent>
      <w:p w14:paraId="177E1E81" w14:textId="2B2042DA" w:rsidR="00CA44D3" w:rsidRDefault="00CA44D3">
        <w:pPr>
          <w:pStyle w:val="Footer"/>
          <w:jc w:val="center"/>
        </w:pPr>
        <w:r>
          <w:fldChar w:fldCharType="begin"/>
        </w:r>
        <w:r>
          <w:instrText xml:space="preserve"> PAGE   \* MERGEFORMAT </w:instrText>
        </w:r>
        <w:r>
          <w:fldChar w:fldCharType="separate"/>
        </w:r>
        <w:r w:rsidR="0055185F">
          <w:rPr>
            <w:noProof/>
          </w:rPr>
          <w:t>4</w:t>
        </w:r>
        <w:r>
          <w:rPr>
            <w:noProof/>
          </w:rPr>
          <w:fldChar w:fldCharType="end"/>
        </w:r>
      </w:p>
    </w:sdtContent>
  </w:sdt>
  <w:p w14:paraId="1AC01D92" w14:textId="77777777" w:rsidR="00CA44D3" w:rsidRDefault="00CA44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E2355F" w14:textId="77777777" w:rsidR="00306063" w:rsidRDefault="00306063">
      <w:r>
        <w:rPr>
          <w:color w:val="000000"/>
        </w:rPr>
        <w:separator/>
      </w:r>
    </w:p>
  </w:footnote>
  <w:footnote w:type="continuationSeparator" w:id="0">
    <w:p w14:paraId="2F7D13BB" w14:textId="77777777" w:rsidR="00306063" w:rsidRDefault="00306063">
      <w:r>
        <w:continuationSeparator/>
      </w:r>
    </w:p>
  </w:footnote>
  <w:footnote w:id="1">
    <w:p w14:paraId="312723BF" w14:textId="77777777" w:rsidR="00B1153A" w:rsidRDefault="00B1153A" w:rsidP="00B1153A">
      <w:pPr>
        <w:pStyle w:val="FootnoteText"/>
      </w:pPr>
      <w:r>
        <w:rPr>
          <w:rStyle w:val="FootnoteReference"/>
        </w:rPr>
        <w:footnoteRef/>
      </w:r>
      <w:r>
        <w:t xml:space="preserve"> </w:t>
      </w:r>
      <w:r w:rsidRPr="00130222">
        <w:t>28.04.2012. likumprojekta Nr.90/TA-811 (2012)</w:t>
      </w:r>
      <w:r>
        <w:t xml:space="preserve"> </w:t>
      </w:r>
      <w:r w:rsidRPr="00130222">
        <w:t>„Grozījumi Dzīvojamo māju pārvaldīšanas likumā” </w:t>
      </w:r>
      <w:r>
        <w:t xml:space="preserve">anotācija pieejama: </w:t>
      </w:r>
      <w:hyperlink r:id="rId1" w:history="1">
        <w:r w:rsidRPr="00DB0859">
          <w:rPr>
            <w:rStyle w:val="Hyperlink"/>
          </w:rPr>
          <w:t>https://titania.saeima.lv/LIVS11/SaeimaLIVS11.nsf/0/1A3F135966574BD7C22579EE003A48E5?OpenDocument</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646C7"/>
    <w:multiLevelType w:val="hybridMultilevel"/>
    <w:tmpl w:val="99189D2A"/>
    <w:lvl w:ilvl="0" w:tplc="C83C42A8">
      <w:start w:val="3"/>
      <w:numFmt w:val="bullet"/>
      <w:lvlText w:val="-"/>
      <w:lvlJc w:val="left"/>
      <w:pPr>
        <w:ind w:left="720" w:hanging="360"/>
      </w:pPr>
      <w:rPr>
        <w:rFonts w:ascii="Times New Roman" w:eastAsia="Times New Roman" w:hAnsi="Times New Roman" w:cs="Times New Roman" w:hint="default"/>
        <w:i w:val="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hideSpellingErrors/>
  <w:hideGrammaticalErrors/>
  <w:proofState w:spelling="clean" w:grammar="clean"/>
  <w:defaultTabStop w:val="720"/>
  <w:autoHyphenation/>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2B2"/>
    <w:rsid w:val="0000184A"/>
    <w:rsid w:val="0000797D"/>
    <w:rsid w:val="00025FB0"/>
    <w:rsid w:val="00026613"/>
    <w:rsid w:val="00062459"/>
    <w:rsid w:val="000735A4"/>
    <w:rsid w:val="00076FB4"/>
    <w:rsid w:val="00090E49"/>
    <w:rsid w:val="000A3BD6"/>
    <w:rsid w:val="000D20F9"/>
    <w:rsid w:val="000D4ECB"/>
    <w:rsid w:val="00102D9C"/>
    <w:rsid w:val="00130156"/>
    <w:rsid w:val="00130222"/>
    <w:rsid w:val="001360C5"/>
    <w:rsid w:val="00141391"/>
    <w:rsid w:val="00167F7B"/>
    <w:rsid w:val="00173687"/>
    <w:rsid w:val="0019197E"/>
    <w:rsid w:val="00196F8C"/>
    <w:rsid w:val="001B582C"/>
    <w:rsid w:val="001B5895"/>
    <w:rsid w:val="001D1D73"/>
    <w:rsid w:val="001D37F5"/>
    <w:rsid w:val="001D63CE"/>
    <w:rsid w:val="00200512"/>
    <w:rsid w:val="002134BA"/>
    <w:rsid w:val="00215AF6"/>
    <w:rsid w:val="00233895"/>
    <w:rsid w:val="002353F3"/>
    <w:rsid w:val="00253837"/>
    <w:rsid w:val="00256198"/>
    <w:rsid w:val="00271DB1"/>
    <w:rsid w:val="00276925"/>
    <w:rsid w:val="0028060A"/>
    <w:rsid w:val="002A5488"/>
    <w:rsid w:val="002B7649"/>
    <w:rsid w:val="002C26AC"/>
    <w:rsid w:val="002E6EC0"/>
    <w:rsid w:val="002E7516"/>
    <w:rsid w:val="003047BF"/>
    <w:rsid w:val="00306063"/>
    <w:rsid w:val="00362EE2"/>
    <w:rsid w:val="00377173"/>
    <w:rsid w:val="00380946"/>
    <w:rsid w:val="003921EF"/>
    <w:rsid w:val="00397F27"/>
    <w:rsid w:val="003A3B9E"/>
    <w:rsid w:val="003C5422"/>
    <w:rsid w:val="003E5D70"/>
    <w:rsid w:val="00403326"/>
    <w:rsid w:val="00421B48"/>
    <w:rsid w:val="00431294"/>
    <w:rsid w:val="00442605"/>
    <w:rsid w:val="00446BE1"/>
    <w:rsid w:val="004506AA"/>
    <w:rsid w:val="004542C8"/>
    <w:rsid w:val="004543A3"/>
    <w:rsid w:val="004664EA"/>
    <w:rsid w:val="00471D72"/>
    <w:rsid w:val="00490386"/>
    <w:rsid w:val="00493BE1"/>
    <w:rsid w:val="004A4DEF"/>
    <w:rsid w:val="004B29AF"/>
    <w:rsid w:val="004D12B2"/>
    <w:rsid w:val="004D3013"/>
    <w:rsid w:val="004E2297"/>
    <w:rsid w:val="004E77F3"/>
    <w:rsid w:val="00500B4A"/>
    <w:rsid w:val="00511021"/>
    <w:rsid w:val="005177A8"/>
    <w:rsid w:val="0053051E"/>
    <w:rsid w:val="00534AB5"/>
    <w:rsid w:val="0055185F"/>
    <w:rsid w:val="00562651"/>
    <w:rsid w:val="00577717"/>
    <w:rsid w:val="005D54DE"/>
    <w:rsid w:val="005E141E"/>
    <w:rsid w:val="005F7BC3"/>
    <w:rsid w:val="00604BC2"/>
    <w:rsid w:val="006148C1"/>
    <w:rsid w:val="006471E3"/>
    <w:rsid w:val="006518A5"/>
    <w:rsid w:val="00653A8A"/>
    <w:rsid w:val="00664DC7"/>
    <w:rsid w:val="0068557E"/>
    <w:rsid w:val="00696F1B"/>
    <w:rsid w:val="006A14BE"/>
    <w:rsid w:val="006A236C"/>
    <w:rsid w:val="006A675F"/>
    <w:rsid w:val="006B4896"/>
    <w:rsid w:val="006C708D"/>
    <w:rsid w:val="006D45A3"/>
    <w:rsid w:val="006D6402"/>
    <w:rsid w:val="006E4799"/>
    <w:rsid w:val="00722904"/>
    <w:rsid w:val="00726764"/>
    <w:rsid w:val="00731EC6"/>
    <w:rsid w:val="00746806"/>
    <w:rsid w:val="007822FD"/>
    <w:rsid w:val="00790C20"/>
    <w:rsid w:val="007939FC"/>
    <w:rsid w:val="007A1FA2"/>
    <w:rsid w:val="007B28BE"/>
    <w:rsid w:val="007C56F9"/>
    <w:rsid w:val="007D767A"/>
    <w:rsid w:val="007E4448"/>
    <w:rsid w:val="00804DA4"/>
    <w:rsid w:val="00805DE9"/>
    <w:rsid w:val="00811D6F"/>
    <w:rsid w:val="008152F1"/>
    <w:rsid w:val="00827AB5"/>
    <w:rsid w:val="00830933"/>
    <w:rsid w:val="00835789"/>
    <w:rsid w:val="00835FD0"/>
    <w:rsid w:val="00854081"/>
    <w:rsid w:val="00863AA0"/>
    <w:rsid w:val="00883304"/>
    <w:rsid w:val="008B5AEA"/>
    <w:rsid w:val="008E59B1"/>
    <w:rsid w:val="008E5CD4"/>
    <w:rsid w:val="008F76A8"/>
    <w:rsid w:val="009021FD"/>
    <w:rsid w:val="00906C2E"/>
    <w:rsid w:val="00926F4F"/>
    <w:rsid w:val="009278EF"/>
    <w:rsid w:val="009441F7"/>
    <w:rsid w:val="009700DD"/>
    <w:rsid w:val="00970DEA"/>
    <w:rsid w:val="009723E1"/>
    <w:rsid w:val="009A6C3A"/>
    <w:rsid w:val="009B756E"/>
    <w:rsid w:val="009C1A44"/>
    <w:rsid w:val="009E773E"/>
    <w:rsid w:val="00A22F1A"/>
    <w:rsid w:val="00A41EB8"/>
    <w:rsid w:val="00A456E0"/>
    <w:rsid w:val="00A946A7"/>
    <w:rsid w:val="00AC038A"/>
    <w:rsid w:val="00AC0A2B"/>
    <w:rsid w:val="00AC6228"/>
    <w:rsid w:val="00AD397B"/>
    <w:rsid w:val="00AD53DC"/>
    <w:rsid w:val="00AE28E9"/>
    <w:rsid w:val="00AE5A1E"/>
    <w:rsid w:val="00AF1534"/>
    <w:rsid w:val="00B0702B"/>
    <w:rsid w:val="00B1153A"/>
    <w:rsid w:val="00B34EFE"/>
    <w:rsid w:val="00B4305F"/>
    <w:rsid w:val="00B57026"/>
    <w:rsid w:val="00B71BB3"/>
    <w:rsid w:val="00BA0D76"/>
    <w:rsid w:val="00BA79B0"/>
    <w:rsid w:val="00BB3BCD"/>
    <w:rsid w:val="00BD126E"/>
    <w:rsid w:val="00BD5582"/>
    <w:rsid w:val="00BF183B"/>
    <w:rsid w:val="00C0011E"/>
    <w:rsid w:val="00C045F3"/>
    <w:rsid w:val="00C06314"/>
    <w:rsid w:val="00C06783"/>
    <w:rsid w:val="00C3281F"/>
    <w:rsid w:val="00C41AE2"/>
    <w:rsid w:val="00C4203A"/>
    <w:rsid w:val="00C4570F"/>
    <w:rsid w:val="00C53FD2"/>
    <w:rsid w:val="00C61905"/>
    <w:rsid w:val="00C818CB"/>
    <w:rsid w:val="00C96C9A"/>
    <w:rsid w:val="00CA44D3"/>
    <w:rsid w:val="00CA4579"/>
    <w:rsid w:val="00CC2C76"/>
    <w:rsid w:val="00CC6B2C"/>
    <w:rsid w:val="00CC730D"/>
    <w:rsid w:val="00CF7D7B"/>
    <w:rsid w:val="00D12AEE"/>
    <w:rsid w:val="00D2377F"/>
    <w:rsid w:val="00D358C9"/>
    <w:rsid w:val="00D413B5"/>
    <w:rsid w:val="00D447A3"/>
    <w:rsid w:val="00D861E4"/>
    <w:rsid w:val="00D870B3"/>
    <w:rsid w:val="00D87BAC"/>
    <w:rsid w:val="00DB2FDF"/>
    <w:rsid w:val="00DD2572"/>
    <w:rsid w:val="00DE01D2"/>
    <w:rsid w:val="00DE037D"/>
    <w:rsid w:val="00DE68B0"/>
    <w:rsid w:val="00DF3E05"/>
    <w:rsid w:val="00DF421B"/>
    <w:rsid w:val="00E028D1"/>
    <w:rsid w:val="00E029AC"/>
    <w:rsid w:val="00E12E80"/>
    <w:rsid w:val="00E1381A"/>
    <w:rsid w:val="00E179A1"/>
    <w:rsid w:val="00E51E0D"/>
    <w:rsid w:val="00E802EE"/>
    <w:rsid w:val="00E8688D"/>
    <w:rsid w:val="00E90B90"/>
    <w:rsid w:val="00E91E8B"/>
    <w:rsid w:val="00EA1156"/>
    <w:rsid w:val="00EC5439"/>
    <w:rsid w:val="00ED09ED"/>
    <w:rsid w:val="00ED401E"/>
    <w:rsid w:val="00EF453F"/>
    <w:rsid w:val="00EF480D"/>
    <w:rsid w:val="00F162CF"/>
    <w:rsid w:val="00F23179"/>
    <w:rsid w:val="00F45202"/>
    <w:rsid w:val="00F5216E"/>
    <w:rsid w:val="00F53B4D"/>
    <w:rsid w:val="00F571BC"/>
    <w:rsid w:val="00F57980"/>
    <w:rsid w:val="00F601E5"/>
    <w:rsid w:val="00F858AD"/>
    <w:rsid w:val="00FA265A"/>
    <w:rsid w:val="00FC2484"/>
    <w:rsid w:val="00FC328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869C5"/>
  <w15:docId w15:val="{6EDFDA61-B514-4CE8-B02E-F9A3F6ECB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autoSpaceDN w:val="0"/>
      <w:textAlignment w:val="baseline"/>
    </w:pPr>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sz w:val="40"/>
      <w:szCs w:val="40"/>
    </w:rPr>
  </w:style>
  <w:style w:type="character" w:styleId="Hyperlink">
    <w:name w:val="Hyperlink"/>
    <w:uiPriority w:val="99"/>
    <w:unhideWhenUsed/>
    <w:rsid w:val="00B0702B"/>
    <w:rPr>
      <w:color w:val="0563C1"/>
      <w:u w:val="single"/>
    </w:rPr>
  </w:style>
  <w:style w:type="paragraph" w:styleId="BalloonText">
    <w:name w:val="Balloon Text"/>
    <w:basedOn w:val="Normal"/>
    <w:link w:val="BalloonTextChar"/>
    <w:uiPriority w:val="99"/>
    <w:semiHidden/>
    <w:unhideWhenUsed/>
    <w:rsid w:val="00790C20"/>
    <w:rPr>
      <w:rFonts w:ascii="Segoe UI" w:hAnsi="Segoe UI" w:cs="Segoe UI"/>
      <w:sz w:val="18"/>
      <w:szCs w:val="18"/>
    </w:rPr>
  </w:style>
  <w:style w:type="character" w:customStyle="1" w:styleId="BalloonTextChar">
    <w:name w:val="Balloon Text Char"/>
    <w:link w:val="BalloonText"/>
    <w:uiPriority w:val="99"/>
    <w:semiHidden/>
    <w:rsid w:val="00790C20"/>
    <w:rPr>
      <w:rFonts w:ascii="Segoe UI" w:eastAsia="Times New Roman" w:hAnsi="Segoe UI" w:cs="Segoe UI"/>
      <w:sz w:val="18"/>
      <w:szCs w:val="18"/>
      <w:lang w:val="en-US" w:eastAsia="en-US"/>
    </w:rPr>
  </w:style>
  <w:style w:type="character" w:customStyle="1" w:styleId="Neatrisintapieminana1">
    <w:name w:val="Neatrisināta pieminēšana1"/>
    <w:basedOn w:val="DefaultParagraphFont"/>
    <w:uiPriority w:val="99"/>
    <w:semiHidden/>
    <w:unhideWhenUsed/>
    <w:rsid w:val="003A3B9E"/>
    <w:rPr>
      <w:color w:val="605E5C"/>
      <w:shd w:val="clear" w:color="auto" w:fill="E1DFDD"/>
    </w:rPr>
  </w:style>
  <w:style w:type="paragraph" w:styleId="Header">
    <w:name w:val="header"/>
    <w:basedOn w:val="Normal"/>
    <w:link w:val="HeaderChar"/>
    <w:uiPriority w:val="99"/>
    <w:unhideWhenUsed/>
    <w:rsid w:val="00EC5439"/>
    <w:pPr>
      <w:tabs>
        <w:tab w:val="center" w:pos="4153"/>
        <w:tab w:val="right" w:pos="8306"/>
      </w:tabs>
    </w:pPr>
  </w:style>
  <w:style w:type="character" w:customStyle="1" w:styleId="HeaderChar">
    <w:name w:val="Header Char"/>
    <w:basedOn w:val="DefaultParagraphFont"/>
    <w:link w:val="Header"/>
    <w:uiPriority w:val="99"/>
    <w:rsid w:val="00EC5439"/>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EC5439"/>
    <w:pPr>
      <w:tabs>
        <w:tab w:val="center" w:pos="4153"/>
        <w:tab w:val="right" w:pos="8306"/>
      </w:tabs>
    </w:pPr>
  </w:style>
  <w:style w:type="character" w:customStyle="1" w:styleId="FooterChar">
    <w:name w:val="Footer Char"/>
    <w:basedOn w:val="DefaultParagraphFont"/>
    <w:link w:val="Footer"/>
    <w:uiPriority w:val="99"/>
    <w:rsid w:val="00EC5439"/>
    <w:rPr>
      <w:rFonts w:ascii="Times New Roman" w:eastAsia="Times New Roman" w:hAnsi="Times New Roman"/>
      <w:sz w:val="24"/>
      <w:szCs w:val="24"/>
      <w:lang w:val="en-US" w:eastAsia="en-US"/>
    </w:rPr>
  </w:style>
  <w:style w:type="paragraph" w:styleId="BodyTextIndent">
    <w:name w:val="Body Text Indent"/>
    <w:basedOn w:val="Normal"/>
    <w:link w:val="BodyTextIndentChar"/>
    <w:uiPriority w:val="99"/>
    <w:unhideWhenUsed/>
    <w:rsid w:val="00604BC2"/>
    <w:pPr>
      <w:suppressAutoHyphens w:val="0"/>
      <w:autoSpaceDN/>
      <w:spacing w:before="120" w:after="120"/>
      <w:ind w:left="283"/>
      <w:textAlignment w:val="auto"/>
    </w:pPr>
    <w:rPr>
      <w:sz w:val="20"/>
      <w:szCs w:val="20"/>
    </w:rPr>
  </w:style>
  <w:style w:type="character" w:customStyle="1" w:styleId="BodyTextIndentChar">
    <w:name w:val="Body Text Indent Char"/>
    <w:basedOn w:val="DefaultParagraphFont"/>
    <w:link w:val="BodyTextIndent"/>
    <w:uiPriority w:val="99"/>
    <w:rsid w:val="00604BC2"/>
    <w:rPr>
      <w:rFonts w:ascii="Times New Roman" w:eastAsia="Times New Roman" w:hAnsi="Times New Roman"/>
      <w:lang w:val="en-US" w:eastAsia="en-US"/>
    </w:rPr>
  </w:style>
  <w:style w:type="table" w:styleId="TableGrid">
    <w:name w:val="Table Grid"/>
    <w:basedOn w:val="TableNormal"/>
    <w:uiPriority w:val="59"/>
    <w:rsid w:val="00BA0D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4A4DEF"/>
    <w:rPr>
      <w:sz w:val="20"/>
      <w:szCs w:val="20"/>
    </w:rPr>
  </w:style>
  <w:style w:type="character" w:customStyle="1" w:styleId="FootnoteTextChar">
    <w:name w:val="Footnote Text Char"/>
    <w:basedOn w:val="DefaultParagraphFont"/>
    <w:link w:val="FootnoteText"/>
    <w:uiPriority w:val="99"/>
    <w:semiHidden/>
    <w:rsid w:val="004A4DEF"/>
    <w:rPr>
      <w:rFonts w:ascii="Times New Roman" w:eastAsia="Times New Roman" w:hAnsi="Times New Roman"/>
      <w:lang w:eastAsia="en-US"/>
    </w:rPr>
  </w:style>
  <w:style w:type="character" w:styleId="FootnoteReference">
    <w:name w:val="footnote reference"/>
    <w:basedOn w:val="DefaultParagraphFont"/>
    <w:uiPriority w:val="99"/>
    <w:semiHidden/>
    <w:unhideWhenUsed/>
    <w:rsid w:val="004A4DEF"/>
    <w:rPr>
      <w:vertAlign w:val="superscript"/>
    </w:rPr>
  </w:style>
  <w:style w:type="paragraph" w:styleId="ListParagraph">
    <w:name w:val="List Paragraph"/>
    <w:basedOn w:val="Normal"/>
    <w:uiPriority w:val="34"/>
    <w:qFormat/>
    <w:rsid w:val="009A6C3A"/>
    <w:pPr>
      <w:ind w:left="720"/>
      <w:contextualSpacing/>
    </w:pPr>
  </w:style>
  <w:style w:type="character" w:styleId="CommentReference">
    <w:name w:val="annotation reference"/>
    <w:basedOn w:val="DefaultParagraphFont"/>
    <w:uiPriority w:val="99"/>
    <w:semiHidden/>
    <w:unhideWhenUsed/>
    <w:rsid w:val="00D413B5"/>
    <w:rPr>
      <w:sz w:val="16"/>
      <w:szCs w:val="16"/>
    </w:rPr>
  </w:style>
  <w:style w:type="paragraph" w:styleId="CommentText">
    <w:name w:val="annotation text"/>
    <w:basedOn w:val="Normal"/>
    <w:link w:val="CommentTextChar"/>
    <w:uiPriority w:val="99"/>
    <w:semiHidden/>
    <w:unhideWhenUsed/>
    <w:rsid w:val="00D413B5"/>
    <w:rPr>
      <w:sz w:val="20"/>
      <w:szCs w:val="20"/>
    </w:rPr>
  </w:style>
  <w:style w:type="character" w:customStyle="1" w:styleId="CommentTextChar">
    <w:name w:val="Comment Text Char"/>
    <w:basedOn w:val="DefaultParagraphFont"/>
    <w:link w:val="CommentText"/>
    <w:uiPriority w:val="99"/>
    <w:semiHidden/>
    <w:rsid w:val="00D413B5"/>
    <w:rPr>
      <w:rFonts w:ascii="Times New Roman" w:eastAsia="Times New Roman" w:hAnsi="Times New Roman"/>
      <w:lang w:eastAsia="en-US"/>
    </w:rPr>
  </w:style>
  <w:style w:type="paragraph" w:styleId="CommentSubject">
    <w:name w:val="annotation subject"/>
    <w:basedOn w:val="CommentText"/>
    <w:next w:val="CommentText"/>
    <w:link w:val="CommentSubjectChar"/>
    <w:uiPriority w:val="99"/>
    <w:semiHidden/>
    <w:unhideWhenUsed/>
    <w:rsid w:val="00D413B5"/>
    <w:rPr>
      <w:b/>
      <w:bCs/>
    </w:rPr>
  </w:style>
  <w:style w:type="character" w:customStyle="1" w:styleId="CommentSubjectChar">
    <w:name w:val="Comment Subject Char"/>
    <w:basedOn w:val="CommentTextChar"/>
    <w:link w:val="CommentSubject"/>
    <w:uiPriority w:val="99"/>
    <w:semiHidden/>
    <w:rsid w:val="00D413B5"/>
    <w:rPr>
      <w:rFonts w:ascii="Times New Roman" w:eastAsia="Times New Roman" w:hAnsi="Times New Roman"/>
      <w:b/>
      <w:bCs/>
      <w:lang w:eastAsia="en-US"/>
    </w:rPr>
  </w:style>
  <w:style w:type="paragraph" w:styleId="Revision">
    <w:name w:val="Revision"/>
    <w:hidden/>
    <w:uiPriority w:val="99"/>
    <w:semiHidden/>
    <w:rsid w:val="007B28BE"/>
    <w:rPr>
      <w:rFonts w:ascii="Times New Roman" w:eastAsia="Times New Roman" w:hAnsi="Times New Roman"/>
      <w:sz w:val="24"/>
      <w:szCs w:val="24"/>
      <w:lang w:eastAsia="en-US"/>
    </w:rPr>
  </w:style>
  <w:style w:type="character" w:styleId="FollowedHyperlink">
    <w:name w:val="FollowedHyperlink"/>
    <w:basedOn w:val="DefaultParagraphFont"/>
    <w:uiPriority w:val="99"/>
    <w:semiHidden/>
    <w:unhideWhenUsed/>
    <w:rsid w:val="008E59B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96670">
      <w:bodyDiv w:val="1"/>
      <w:marLeft w:val="0"/>
      <w:marRight w:val="0"/>
      <w:marTop w:val="0"/>
      <w:marBottom w:val="0"/>
      <w:divBdr>
        <w:top w:val="none" w:sz="0" w:space="0" w:color="auto"/>
        <w:left w:val="none" w:sz="0" w:space="0" w:color="auto"/>
        <w:bottom w:val="none" w:sz="0" w:space="0" w:color="auto"/>
        <w:right w:val="none" w:sz="0" w:space="0" w:color="auto"/>
      </w:divBdr>
      <w:divsChild>
        <w:div w:id="1888953292">
          <w:marLeft w:val="0"/>
          <w:marRight w:val="0"/>
          <w:marTop w:val="0"/>
          <w:marBottom w:val="0"/>
          <w:divBdr>
            <w:top w:val="none" w:sz="0" w:space="0" w:color="auto"/>
            <w:left w:val="none" w:sz="0" w:space="0" w:color="auto"/>
            <w:bottom w:val="none" w:sz="0" w:space="0" w:color="auto"/>
            <w:right w:val="none" w:sz="0" w:space="0" w:color="auto"/>
          </w:divBdr>
        </w:div>
        <w:div w:id="1674648594">
          <w:marLeft w:val="0"/>
          <w:marRight w:val="0"/>
          <w:marTop w:val="0"/>
          <w:marBottom w:val="0"/>
          <w:divBdr>
            <w:top w:val="none" w:sz="0" w:space="0" w:color="auto"/>
            <w:left w:val="none" w:sz="0" w:space="0" w:color="auto"/>
            <w:bottom w:val="none" w:sz="0" w:space="0" w:color="auto"/>
            <w:right w:val="none" w:sz="0" w:space="0" w:color="auto"/>
          </w:divBdr>
        </w:div>
        <w:div w:id="1703167928">
          <w:marLeft w:val="0"/>
          <w:marRight w:val="0"/>
          <w:marTop w:val="0"/>
          <w:marBottom w:val="0"/>
          <w:divBdr>
            <w:top w:val="none" w:sz="0" w:space="0" w:color="auto"/>
            <w:left w:val="none" w:sz="0" w:space="0" w:color="auto"/>
            <w:bottom w:val="none" w:sz="0" w:space="0" w:color="auto"/>
            <w:right w:val="none" w:sz="0" w:space="0" w:color="auto"/>
          </w:divBdr>
        </w:div>
      </w:divsChild>
    </w:div>
    <w:div w:id="295719490">
      <w:bodyDiv w:val="1"/>
      <w:marLeft w:val="0"/>
      <w:marRight w:val="0"/>
      <w:marTop w:val="0"/>
      <w:marBottom w:val="0"/>
      <w:divBdr>
        <w:top w:val="none" w:sz="0" w:space="0" w:color="auto"/>
        <w:left w:val="none" w:sz="0" w:space="0" w:color="auto"/>
        <w:bottom w:val="none" w:sz="0" w:space="0" w:color="auto"/>
        <w:right w:val="none" w:sz="0" w:space="0" w:color="auto"/>
      </w:divBdr>
    </w:div>
    <w:div w:id="368917409">
      <w:bodyDiv w:val="1"/>
      <w:marLeft w:val="0"/>
      <w:marRight w:val="0"/>
      <w:marTop w:val="0"/>
      <w:marBottom w:val="0"/>
      <w:divBdr>
        <w:top w:val="none" w:sz="0" w:space="0" w:color="auto"/>
        <w:left w:val="none" w:sz="0" w:space="0" w:color="auto"/>
        <w:bottom w:val="none" w:sz="0" w:space="0" w:color="auto"/>
        <w:right w:val="none" w:sz="0" w:space="0" w:color="auto"/>
      </w:divBdr>
    </w:div>
    <w:div w:id="416632968">
      <w:bodyDiv w:val="1"/>
      <w:marLeft w:val="0"/>
      <w:marRight w:val="0"/>
      <w:marTop w:val="0"/>
      <w:marBottom w:val="0"/>
      <w:divBdr>
        <w:top w:val="none" w:sz="0" w:space="0" w:color="auto"/>
        <w:left w:val="none" w:sz="0" w:space="0" w:color="auto"/>
        <w:bottom w:val="none" w:sz="0" w:space="0" w:color="auto"/>
        <w:right w:val="none" w:sz="0" w:space="0" w:color="auto"/>
      </w:divBdr>
    </w:div>
    <w:div w:id="420490673">
      <w:bodyDiv w:val="1"/>
      <w:marLeft w:val="0"/>
      <w:marRight w:val="0"/>
      <w:marTop w:val="0"/>
      <w:marBottom w:val="0"/>
      <w:divBdr>
        <w:top w:val="none" w:sz="0" w:space="0" w:color="auto"/>
        <w:left w:val="none" w:sz="0" w:space="0" w:color="auto"/>
        <w:bottom w:val="none" w:sz="0" w:space="0" w:color="auto"/>
        <w:right w:val="none" w:sz="0" w:space="0" w:color="auto"/>
      </w:divBdr>
    </w:div>
    <w:div w:id="848300305">
      <w:bodyDiv w:val="1"/>
      <w:marLeft w:val="0"/>
      <w:marRight w:val="0"/>
      <w:marTop w:val="0"/>
      <w:marBottom w:val="0"/>
      <w:divBdr>
        <w:top w:val="none" w:sz="0" w:space="0" w:color="auto"/>
        <w:left w:val="none" w:sz="0" w:space="0" w:color="auto"/>
        <w:bottom w:val="none" w:sz="0" w:space="0" w:color="auto"/>
        <w:right w:val="none" w:sz="0" w:space="0" w:color="auto"/>
      </w:divBdr>
    </w:div>
    <w:div w:id="1184978879">
      <w:bodyDiv w:val="1"/>
      <w:marLeft w:val="0"/>
      <w:marRight w:val="0"/>
      <w:marTop w:val="0"/>
      <w:marBottom w:val="0"/>
      <w:divBdr>
        <w:top w:val="none" w:sz="0" w:space="0" w:color="auto"/>
        <w:left w:val="none" w:sz="0" w:space="0" w:color="auto"/>
        <w:bottom w:val="none" w:sz="0" w:space="0" w:color="auto"/>
        <w:right w:val="none" w:sz="0" w:space="0" w:color="auto"/>
      </w:divBdr>
      <w:divsChild>
        <w:div w:id="1343969223">
          <w:marLeft w:val="0"/>
          <w:marRight w:val="0"/>
          <w:marTop w:val="0"/>
          <w:marBottom w:val="0"/>
          <w:divBdr>
            <w:top w:val="none" w:sz="0" w:space="0" w:color="auto"/>
            <w:left w:val="none" w:sz="0" w:space="0" w:color="auto"/>
            <w:bottom w:val="none" w:sz="0" w:space="0" w:color="auto"/>
            <w:right w:val="none" w:sz="0" w:space="0" w:color="auto"/>
          </w:divBdr>
        </w:div>
        <w:div w:id="361562366">
          <w:marLeft w:val="0"/>
          <w:marRight w:val="0"/>
          <w:marTop w:val="0"/>
          <w:marBottom w:val="0"/>
          <w:divBdr>
            <w:top w:val="none" w:sz="0" w:space="0" w:color="auto"/>
            <w:left w:val="none" w:sz="0" w:space="0" w:color="auto"/>
            <w:bottom w:val="none" w:sz="0" w:space="0" w:color="auto"/>
            <w:right w:val="none" w:sz="0" w:space="0" w:color="auto"/>
          </w:divBdr>
        </w:div>
        <w:div w:id="350840391">
          <w:marLeft w:val="0"/>
          <w:marRight w:val="0"/>
          <w:marTop w:val="0"/>
          <w:marBottom w:val="0"/>
          <w:divBdr>
            <w:top w:val="none" w:sz="0" w:space="0" w:color="auto"/>
            <w:left w:val="none" w:sz="0" w:space="0" w:color="auto"/>
            <w:bottom w:val="none" w:sz="0" w:space="0" w:color="auto"/>
            <w:right w:val="none" w:sz="0" w:space="0" w:color="auto"/>
          </w:divBdr>
        </w:div>
      </w:divsChild>
    </w:div>
    <w:div w:id="1335183346">
      <w:bodyDiv w:val="1"/>
      <w:marLeft w:val="0"/>
      <w:marRight w:val="0"/>
      <w:marTop w:val="0"/>
      <w:marBottom w:val="0"/>
      <w:divBdr>
        <w:top w:val="none" w:sz="0" w:space="0" w:color="auto"/>
        <w:left w:val="none" w:sz="0" w:space="0" w:color="auto"/>
        <w:bottom w:val="none" w:sz="0" w:space="0" w:color="auto"/>
        <w:right w:val="none" w:sz="0" w:space="0" w:color="auto"/>
      </w:divBdr>
      <w:divsChild>
        <w:div w:id="2012053361">
          <w:marLeft w:val="0"/>
          <w:marRight w:val="0"/>
          <w:marTop w:val="0"/>
          <w:marBottom w:val="0"/>
          <w:divBdr>
            <w:top w:val="none" w:sz="0" w:space="0" w:color="auto"/>
            <w:left w:val="none" w:sz="0" w:space="0" w:color="auto"/>
            <w:bottom w:val="none" w:sz="0" w:space="0" w:color="auto"/>
            <w:right w:val="none" w:sz="0" w:space="0" w:color="auto"/>
          </w:divBdr>
        </w:div>
      </w:divsChild>
    </w:div>
    <w:div w:id="1412193167">
      <w:bodyDiv w:val="1"/>
      <w:marLeft w:val="0"/>
      <w:marRight w:val="0"/>
      <w:marTop w:val="0"/>
      <w:marBottom w:val="0"/>
      <w:divBdr>
        <w:top w:val="none" w:sz="0" w:space="0" w:color="auto"/>
        <w:left w:val="none" w:sz="0" w:space="0" w:color="auto"/>
        <w:bottom w:val="none" w:sz="0" w:space="0" w:color="auto"/>
        <w:right w:val="none" w:sz="0" w:space="0" w:color="auto"/>
      </w:divBdr>
    </w:div>
    <w:div w:id="1473787614">
      <w:bodyDiv w:val="1"/>
      <w:marLeft w:val="0"/>
      <w:marRight w:val="0"/>
      <w:marTop w:val="0"/>
      <w:marBottom w:val="0"/>
      <w:divBdr>
        <w:top w:val="none" w:sz="0" w:space="0" w:color="auto"/>
        <w:left w:val="none" w:sz="0" w:space="0" w:color="auto"/>
        <w:bottom w:val="none" w:sz="0" w:space="0" w:color="auto"/>
        <w:right w:val="none" w:sz="0" w:space="0" w:color="auto"/>
      </w:divBdr>
      <w:divsChild>
        <w:div w:id="444689658">
          <w:marLeft w:val="0"/>
          <w:marRight w:val="0"/>
          <w:marTop w:val="0"/>
          <w:marBottom w:val="0"/>
          <w:divBdr>
            <w:top w:val="none" w:sz="0" w:space="0" w:color="auto"/>
            <w:left w:val="none" w:sz="0" w:space="0" w:color="auto"/>
            <w:bottom w:val="none" w:sz="0" w:space="0" w:color="auto"/>
            <w:right w:val="none" w:sz="0" w:space="0" w:color="auto"/>
          </w:divBdr>
        </w:div>
      </w:divsChild>
    </w:div>
    <w:div w:id="1741318800">
      <w:bodyDiv w:val="1"/>
      <w:marLeft w:val="0"/>
      <w:marRight w:val="0"/>
      <w:marTop w:val="0"/>
      <w:marBottom w:val="0"/>
      <w:divBdr>
        <w:top w:val="none" w:sz="0" w:space="0" w:color="auto"/>
        <w:left w:val="none" w:sz="0" w:space="0" w:color="auto"/>
        <w:bottom w:val="none" w:sz="0" w:space="0" w:color="auto"/>
        <w:right w:val="none" w:sz="0" w:space="0" w:color="auto"/>
      </w:divBdr>
    </w:div>
    <w:div w:id="1754358364">
      <w:bodyDiv w:val="1"/>
      <w:marLeft w:val="0"/>
      <w:marRight w:val="0"/>
      <w:marTop w:val="0"/>
      <w:marBottom w:val="0"/>
      <w:divBdr>
        <w:top w:val="none" w:sz="0" w:space="0" w:color="auto"/>
        <w:left w:val="none" w:sz="0" w:space="0" w:color="auto"/>
        <w:bottom w:val="none" w:sz="0" w:space="0" w:color="auto"/>
        <w:right w:val="none" w:sz="0" w:space="0" w:color="auto"/>
      </w:divBdr>
    </w:div>
    <w:div w:id="1822041346">
      <w:bodyDiv w:val="1"/>
      <w:marLeft w:val="0"/>
      <w:marRight w:val="0"/>
      <w:marTop w:val="0"/>
      <w:marBottom w:val="0"/>
      <w:divBdr>
        <w:top w:val="none" w:sz="0" w:space="0" w:color="auto"/>
        <w:left w:val="none" w:sz="0" w:space="0" w:color="auto"/>
        <w:bottom w:val="none" w:sz="0" w:space="0" w:color="auto"/>
        <w:right w:val="none" w:sz="0" w:space="0" w:color="auto"/>
      </w:divBdr>
      <w:divsChild>
        <w:div w:id="2141150058">
          <w:marLeft w:val="0"/>
          <w:marRight w:val="0"/>
          <w:marTop w:val="0"/>
          <w:marBottom w:val="0"/>
          <w:divBdr>
            <w:top w:val="none" w:sz="0" w:space="0" w:color="auto"/>
            <w:left w:val="none" w:sz="0" w:space="0" w:color="auto"/>
            <w:bottom w:val="none" w:sz="0" w:space="0" w:color="auto"/>
            <w:right w:val="none" w:sz="0" w:space="0" w:color="auto"/>
          </w:divBdr>
        </w:div>
        <w:div w:id="261691718">
          <w:marLeft w:val="0"/>
          <w:marRight w:val="0"/>
          <w:marTop w:val="0"/>
          <w:marBottom w:val="0"/>
          <w:divBdr>
            <w:top w:val="none" w:sz="0" w:space="0" w:color="auto"/>
            <w:left w:val="none" w:sz="0" w:space="0" w:color="auto"/>
            <w:bottom w:val="none" w:sz="0" w:space="0" w:color="auto"/>
            <w:right w:val="none" w:sz="0" w:space="0" w:color="auto"/>
          </w:divBdr>
        </w:div>
        <w:div w:id="412313333">
          <w:marLeft w:val="0"/>
          <w:marRight w:val="0"/>
          <w:marTop w:val="0"/>
          <w:marBottom w:val="0"/>
          <w:divBdr>
            <w:top w:val="none" w:sz="0" w:space="0" w:color="auto"/>
            <w:left w:val="none" w:sz="0" w:space="0" w:color="auto"/>
            <w:bottom w:val="none" w:sz="0" w:space="0" w:color="auto"/>
            <w:right w:val="none" w:sz="0" w:space="0" w:color="auto"/>
          </w:divBdr>
        </w:div>
      </w:divsChild>
    </w:div>
    <w:div w:id="19658407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RNP\AppData\Local\Microsoft\Windows\Temporary%20Internet%20Files\AppData\Local\Microsoft\Windows\Temporary%20Internet%20Files\Content.Outlook\LE1V1LJN\rnparvaldnieks@rnparvaldniek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asts@em.gov.lv" TargetMode="External"/><Relationship Id="rId4" Type="http://schemas.openxmlformats.org/officeDocument/2006/relationships/settings" Target="settings.xml"/><Relationship Id="rId9" Type="http://schemas.openxmlformats.org/officeDocument/2006/relationships/hyperlink" Target="http://www.rnparvaldnieks.l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titania.saeima.lv/LIVS11/SaeimaLIVS11.nsf/0/1A3F135966574BD7C22579EE003A48E5?OpenDocu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C0E42-7BAB-4080-A286-802D6D776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8396</Words>
  <Characters>4787</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13157</CharactersWithSpaces>
  <SharedDoc>false</SharedDoc>
  <HLinks>
    <vt:vector size="12" baseType="variant">
      <vt:variant>
        <vt:i4>7405670</vt:i4>
      </vt:variant>
      <vt:variant>
        <vt:i4>3</vt:i4>
      </vt:variant>
      <vt:variant>
        <vt:i4>0</vt:i4>
      </vt:variant>
      <vt:variant>
        <vt:i4>5</vt:i4>
      </vt:variant>
      <vt:variant>
        <vt:lpwstr>../AppData/Local/Microsoft/Windows/Temporary Internet Files/AppData/Local/Microsoft/Windows/Temporary Internet Files/Content.Outlook/LE1V1LJN/www.rnparvaldnieks.lv</vt:lpwstr>
      </vt:variant>
      <vt:variant>
        <vt:lpwstr/>
      </vt:variant>
      <vt:variant>
        <vt:i4>7012361</vt:i4>
      </vt:variant>
      <vt:variant>
        <vt:i4>0</vt:i4>
      </vt:variant>
      <vt:variant>
        <vt:i4>0</vt:i4>
      </vt:variant>
      <vt:variant>
        <vt:i4>5</vt:i4>
      </vt:variant>
      <vt:variant>
        <vt:lpwstr>../AppData/Local/Microsoft/Windows/Temporary Internet Files/AppData/Local/Microsoft/Windows/Temporary Internet Files/Content.Outlook/LE1V1LJN/rnparvaldnieks@rnparvaldnieks.lv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Zaķīte</dc:creator>
  <cp:lastModifiedBy>Agnese Līckrastiņa</cp:lastModifiedBy>
  <cp:revision>2</cp:revision>
  <cp:lastPrinted>2014-05-30T15:00:00Z</cp:lastPrinted>
  <dcterms:created xsi:type="dcterms:W3CDTF">2022-06-20T09:01:00Z</dcterms:created>
  <dcterms:modified xsi:type="dcterms:W3CDTF">2022-06-20T09:01:00Z</dcterms:modified>
  <cp:contentStatus/>
</cp:coreProperties>
</file>