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Pārtikas uzņēmumā izmantojamā 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monitoringu, lai iegūtu informāciju par dzeramā ūdens mikrobioloģiskajiem, organoleptiskajiem un fizikāli ķīmiskajiem rādītājiem atbilstoši šo noteikumu </w:t>
            </w:r>
            <w:r w:rsidR="00000000" w:rsidRPr="00000000" w:rsidDel="00000000">
              <w:rPr>
                <w:rtl w:val="0"/>
              </w:rPr>
              <w:t xml:space="preserve">2. </w:t>
            </w:r>
            <w:r w:rsidR="00000000" w:rsidRPr="00000000" w:rsidDel="00000000">
              <w:rPr>
                <w:rtl w:val="0"/>
              </w:rPr>
              <w:t xml:space="preserve">pielikuma</w:t>
            </w:r>
            <w:r w:rsidR="00000000" w:rsidRPr="00000000" w:rsidDel="00000000">
              <w:rPr>
                <w:rtl w:val="0"/>
              </w:rPr>
              <w:t xml:space="preserve"> 1. punktā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 nodrošinātu vienotu terminoloģijas lietojumu, lūdzam arī 8.1. apakšpunktā lietot redakciju "kārtējais monitorings", kā tas jau ir lietots projekta pielikuma tabulās, kad līdztekus terminam "auditmonitorings" tiek lietots termins “kārtējais monitorings”.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kārtējo monitoringu, lai iegūtu informāciju par dzeramā ūdens mikrobioloģiskajiem, organoleptiskajiem un fizikāli ķīmiskajiem rādītājiem atbilstoši šo noteikumu 2. pielikuma 1.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Skaidrīte Ivanišaka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Pārtikas uzņēmumi šo noteikumu I pielikuma 2.punktā noteiktos ķīmiskos rādītājus - Bisfenols A, hlorāti, hlorīti, halogēnetiķskābe (HAA5), mikrocisteīns - LR, PFAS kopā, PFAS summa un urāns piemēro no 2026.gada 12.janvāra.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41.punktu, lai viennozīmīgi būtu saprotams, ka attiecīgie izmeklējumi jāveic arī pirms 2026. gada, lai varētu konstatēt iespējamās problēmas un veikt nepieciešamos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Pārtikas uzņēmumi šo noteikumu I pielikuma 2.punktā noteiktās ķīmisko rādītāju (Bisfenols A, hlorāti, hlorīti, halogēnetiķskābe (HAA5), mikrocisteīns - LR, PFAS kopā, PFAS summa un urāns) maksimāli pieļaujamās normas piemēro no 2026.gada 12.janvāra.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Skaidrīte Ivanišaka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04.04.2023. 08.57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04.04.2023. 08.57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Atzinumi_22-TA-186.docx</dc:title>
</cp:coreProperties>
</file>

<file path=docProps/custom.xml><?xml version="1.0" encoding="utf-8"?>
<Properties xmlns="http://schemas.openxmlformats.org/officeDocument/2006/custom-properties" xmlns:vt="http://schemas.openxmlformats.org/officeDocument/2006/docPropsVTypes"/>
</file>