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anotācijas 3.sadaļas 6.2.apakšpunkta 2) daļā teikumu "Gadījumā, ja attiecīgais prioritārais pasākums netiks atbalstīts, Izglītības un zinātnes ministrija nepieciešamo finansējumu nodrošinās kārtējam gadam piešķirto valsts budžeta līdzekļu ietvaros, veicot izdevumu pārstrukturēšanu un prioritēšanu." Izglītības un zinātnes ministrijas budžetā nav nesadalītu valsts budžeta līdzekļu, lai nodrošinātu Valsts izglītības informācijas sistēmas pielāgošanai nepieciešamo finansējumu, kā arī šobrīd neredzam iespējas papildus izdevumu pārstrukturizēšanai. Izglītības un zinātnes ministrijas piedāvāta redakcija:"Gadījumā, ja attiecīgais prioritārais pasākums netiks atbalstīts, Sabiedrības integrācijas fonds vienojas ar Izglītības un zinātnes ministriju par finansējumu datu apmaiņas risinājuma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Veldre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30.04.2024. 13.20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30.04.2024. 13.20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