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DEMOGRĀFISKĀS POLITIKAS ATTĪSTĪBU”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74. lpp. Papildināt 2.1.daļu ar punktu </w:t>
            </w:r>
            <w:r w:rsidR="00000000" w:rsidRPr="00000000" w:rsidDel="00000000">
              <w:rPr>
                <w:i w:val="1"/>
                <w:rtl w:val="0"/>
              </w:rPr>
              <w:t xml:space="preserve">2.1.12. Ja vecāks ir bijis nodarbināts un dodas ar bērna kopšanu saistītā atvaļinājumā – vecāku pabalsts 100 % vai 80 % apmērā no personas vidējās iemaksu algas atkarībā no vecāka izvēlētā atvaļinājuma ilguma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Katrīne Luīze Štolca (LLPA) (Jānis Cunskis (LLPA)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14.03.2025. 21.16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14.03.2025. 21.16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