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 izstrādā digitālās attīstības ceļa karti un atzinumu, nodrošina konsultācijas un mentoringu. Eiropas digitālās inovācijas centra eksperts digitālās attīstības ceļa kartē norāda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noteiktās minimālās prasības, nepieciešamības gadījumā pie atbalsta virziena pievienojot papildus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w:t>
            </w:r>
            <w:r w:rsidR="00000000" w:rsidRPr="00000000" w:rsidDel="00000000">
              <w:rPr>
                <w:i w:val="1"/>
                <w:rtl w:val="0"/>
              </w:rPr>
              <w:t xml:space="preserve">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r w:rsidR="00000000" w:rsidRPr="00000000" w:rsidDel="00000000">
              <w:rPr>
                <w:rtl w:val="0"/>
              </w:rPr>
              <w:t xml:space="preserve"> (turpmāk – Noteikumi) 29.10.apakšpunktā paredzēto grozījumu nepieciešamības un būtības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Noteikumu 29.10.apakšpunkts jau noteic, ka Eiropas digitālās inovācijas centrs (turpmāk - EDIC) izstrādā digitālās attīstības ceļa karti, kurā norāda informāciju atbilstoši šo noteikumu 2. pielikuma prasībām. Ar grozījumiem šai normai tiek pievienots nosacījums, ka EDIC var  "nepieciešamības gadījumā pie atbalsta virziena pievienot papildus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2.2. apakšpunktu digitālās attīstības ceļa karte ir EDIC </w:t>
            </w:r>
            <w:r w:rsidR="00000000" w:rsidRPr="00000000" w:rsidDel="00000000">
              <w:rPr>
                <w:i w:val="1"/>
                <w:rtl w:val="0"/>
              </w:rPr>
              <w:t xml:space="preserve">eksperta </w:t>
            </w:r>
            <w:r w:rsidR="00000000" w:rsidRPr="00000000" w:rsidDel="00000000">
              <w:rPr>
                <w:i w:val="1"/>
                <w:u w:val="single"/>
                <w:rtl w:val="0"/>
              </w:rPr>
              <w:t xml:space="preserve">padziļināti vadīts un izveidots novērtējums </w:t>
            </w:r>
            <w:r w:rsidR="00000000" w:rsidRPr="00000000" w:rsidDel="00000000">
              <w:rPr>
                <w:i w:val="1"/>
                <w:rtl w:val="0"/>
              </w:rPr>
              <w:t xml:space="preserve">digitālā brieduma testa ietvaros par gala labuma guvējam nepieciešamajām investīcijām digitālās transformācijas veicināšanai</w:t>
            </w:r>
            <w:r w:rsidR="00000000" w:rsidRPr="00000000" w:rsidDel="00000000">
              <w:rPr>
                <w:rtl w:val="0"/>
              </w:rPr>
              <w:t xml:space="preserve">. Noteikumu 2.pielikumā jau šobrīd pie katra digitālās attīstības ceļa kartes atbalsta virziena paredzēts sniegt rekomendācijas digitālās transformācijas darbībām. Nav skaidrs, kas ir grozījumā paredzētie "papildus nosacījumi" un, piemēram, kāpēc tādus nevar sniegt jau šobrīd Noteikumu 2.pielikumā minēto rekomendāciju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grozījumā paredzētais jēdziens "minimālās prasības" arī nav skaidrs, jo Noteikumu 2.pielikumā minētā karte pēc būtības ir novērtējuma dokuments, nevis prasību uzskaitījums. Līdz ar to nav iespējams viennozīmīgi pateikt, kādas ir 2.pielikuma "minimālās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pievienotās vērtības nodoklis, muitas nodokļi un soda maksājumi;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grozījuma nepieciešamības pamatojumu, jo anotācijas 1.3.apakšpunktā šobrīd tāds nav sniegts. Vēršam uzmanību, ka Noteikumu 33.1.apakšpunktā paredzētais grozījums maina atbalsta saņemšanas nosacījumus (paplašina attiecināmo izdevumu pozīcijas).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Centrālā finanšu un līgumu aģentūra pieņem lēmumu par Eiropas digitālās inovācijas centra atbilstību Komisijas regulas Nr. </w:t>
            </w:r>
            <w:r w:rsidR="00000000" w:rsidRPr="00000000" w:rsidDel="00000000">
              <w:rPr>
                <w:rtl w:val="0"/>
              </w:rPr>
              <w:t xml:space="preserve">651/2014</w:t>
            </w:r>
            <w:r w:rsidR="00000000" w:rsidRPr="00000000" w:rsidDel="00000000">
              <w:rPr>
                <w:rtl w:val="0"/>
              </w:rPr>
              <w:t xml:space="preserve"> 27. panta nosacījumiem un par finansējuma piešķiršanu Eiropas digitālās inovācijas centram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w:t>
            </w:r>
            <w:r w:rsidR="00000000" w:rsidRPr="00000000" w:rsidDel="00000000">
              <w:rPr>
                <w:rtl w:val="0"/>
              </w:rPr>
              <w:t xml:space="preserve">1407/2013</w:t>
            </w:r>
            <w:r w:rsidR="00000000" w:rsidRPr="00000000" w:rsidDel="00000000">
              <w:rPr>
                <w:rtl w:val="0"/>
              </w:rPr>
              <w:t xml:space="preserve">) vai Eiropas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w:t>
            </w:r>
            <w:r w:rsidR="00000000" w:rsidRPr="00000000" w:rsidDel="00000000">
              <w:rPr>
                <w:rtl w:val="0"/>
              </w:rPr>
              <w:t xml:space="preserve">717/2014</w:t>
            </w:r>
            <w:r w:rsidR="00000000" w:rsidRPr="00000000" w:rsidDel="00000000">
              <w:rPr>
                <w:rtl w:val="0"/>
              </w:rPr>
              <w:t xml:space="preserve">) vai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w:t>
            </w:r>
            <w:r w:rsidR="00000000" w:rsidRPr="00000000" w:rsidDel="00000000">
              <w:rPr>
                <w:rtl w:val="0"/>
              </w:rPr>
              <w:t xml:space="preserve">1408/2013</w:t>
            </w:r>
            <w:r w:rsidR="00000000" w:rsidRPr="00000000" w:rsidDel="00000000">
              <w:rPr>
                <w:rtl w:val="0"/>
              </w:rPr>
              <w:t xml:space="preserve">), lai sniegtu pakalpojumus gala labuma guvējam saskaņā ar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minētajām izmaksām. Par komercdarbības atbalsta piešķiršanas dienu uzskatāma diena, kad Centrālā finanšu un līgumu aģentūra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 punktā piedāvātajā redakcijā papildinājums Noteikumu 52.punktā saturiski dublēs noteikumu projekta 5.punktā izteikto Noteikumu 56.punktu, proti, abas normas noteiks, ka atbalstu Noteikumu 32.punktā minēto EDIC sniegto pakalpojumu izmaksu segšanai sniedz saskaņā Komisijas regulu Nr. 1407/2013 vai Komisijas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minēto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noteikumu projekta anotācijā minētā pamatojuma var secināt, ka ar noteikumu projekta 4. un 5.punktu paredzēts novērst problēmu, ka Noteikumos šobrīd nav pietiekami skaidri pateikts, kas vērtē Noteikumu 56.punktā minēto nosacījumu izpildi (atbilstību regulām). Aicinām apsvērt, vai minēto problēmu nav vieglāk novērst, piemēram, papildinot Noteikumu 56.punktu ar norādi uz subjektu, kas pieņem attiecīgo lēmumu (CFLA), un negrozīt Noteikumu 52.punktu. Tāpat lūdzam izvērtēt, vai saistībā ar minēto tiesiskās skaidrības nolūkos nav nepieciešams precizēt arī Noteikumu 36.5.apakšpunktu vai 39.1.apakšpunktu.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nodrošināt gala labuma guvējiem klātienes vai elektronisku piekļuvi sākotnējam un otrreizējam digitālā brieduma testam un 30 dienu laikā pēc gala labuma guvēja pieprasījuma klātienē vai elektroniski izstrādāt digitālās attīstības ceļa karti;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grozījuma nepieciešamības pamatojumu, proti, skaidrot, kāpēc nepieciešams sašaurināt piekļuves iespējas sākotnējam un otrreizējam digitālā brieduma testam. Tāpat nav skaidra nepieciešamība papildinājumam “</w:t>
            </w:r>
            <w:r w:rsidR="00000000" w:rsidRPr="00000000" w:rsidDel="00000000">
              <w:rPr>
                <w:u w:val="single"/>
                <w:rtl w:val="0"/>
              </w:rPr>
              <w:t xml:space="preserve">klātienē vai elektroniski izstrādāt</w:t>
            </w:r>
            <w:r w:rsidR="00000000" w:rsidRPr="00000000" w:rsidDel="00000000">
              <w:rPr>
                <w:rtl w:val="0"/>
              </w:rPr>
              <w:t xml:space="preserve"> digitālās attīstības ceļa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23.02.2023.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23.02.2023.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