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demarkāciju pret konkrētām Ekonomikas ministrijas Atveseļošanas fonda atbalsta programmām - 1.2.1.2.i. 2.pasākumu, 2.2.1.3.i. investīciju, 5.1.1.2.i. investīcijas pirmo kārtu, 5.1.1.2.i investīcijas otro kārtu un 5.1.1.2.i. investīcijas ceturto kārtu, ņemot vērā, ka pasākuma ietvaros paredzēts atbalsts pētniecības un zināšanu izplatīšanas organizācijām, kas savu darbību var īstenot sadarbībā ar komersantiem un ka Ekonomikas ministrija saredz iespējamu finanšu plūsmu un plānoto darbību pārklāšanos, pētniecības īstenotājiem iepriekšminētajās atbalsta programmās veicot tehniski ekonomisko priekšizpēti, rūpnieciskos pētījumus un eksperimentālās izstrādes.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26.03.2024. 23.08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26.03.2024. 23.08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Atzinumi_23-TA-611.docx</dc:title>
</cp:coreProperties>
</file>

<file path=docProps/custom.xml><?xml version="1.0" encoding="utf-8"?>
<Properties xmlns="http://schemas.openxmlformats.org/officeDocument/2006/custom-properties" xmlns:vt="http://schemas.openxmlformats.org/officeDocument/2006/docPropsVTypes"/>
</file>