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Emisijas kvotu izsolīšanas instrumenta finansēto projektu atklāta konkursa "Siltumnīcefekta gāzu emisiju samazināšana Iekšlietu ministrijas sistēmas iestāžu un pašvaldību policijas institūciju ēkās"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Projektu finansē no finanšu instrumenta līdzekļiem un līdzfinansē no finansējuma saņēmēja līdzekļiem. Finansējuma saņēmēja līdzfinansējums ir vismaz 20 % no projekta kopējām attiecināmajām izmaksām. Finansējuma saņēmējs ir tiesīgs saņemt finanšu instrumenta finansējumu saskaņā ar konkursa rezultātiem, ja tas ir noslēdzis projekta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šajā punktā norādīto ar noteikumu projekta 60. punktu, kas paredz, ka "Ja finansējuma saņēmējs ir Nodrošinājuma valsts aģentūra, līdzfinansējumu normatīvajos aktos noteiktā kārtībā, kādā veic gadskārtējā valsts budžeta likumā noteiktās apropriācijas izmaiņas, </w:t>
            </w:r>
            <w:r w:rsidR="00000000" w:rsidRPr="00000000" w:rsidDel="00000000">
              <w:rPr>
                <w:b w:val="1"/>
                <w:rtl w:val="0"/>
              </w:rPr>
              <w:t xml:space="preserve">nodrošina no valsts budžeta </w:t>
            </w:r>
            <w:r w:rsidR="00000000" w:rsidRPr="00000000" w:rsidDel="00000000">
              <w:rPr>
                <w:rtl w:val="0"/>
              </w:rPr>
              <w:t xml:space="preserve">un maksājumus veic no līdzekļiem, kas projekta īstenošanai paredzēti Iekšlietu ministrijas budžetā. Finanšu instrumenta finansējuma daļu projekta īstenošanai plāno kā dotāciju no vispārējiem ieņēmumiem vai ministrijas transferta pārskaitījumu no valsts pamatbudžeta dotācijas no vispārējiem ieņēmumiem atsevišķā budžeta programmā vai apakšprogrammā. Iekšlietu ministrija saņem maksājumus saskaņā ar projekta līgumā noteikto kārtību un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Larisa Tumaņana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var iesniegt vienu projekta iesniegumu par katru īpašumā, valdījumā vai lietošanā esošu ēku, ēkas daļu vai ēku grupu, ja tā atrodas vienā adresē.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Republikas Senāta Administratīvo lietu departamenta spriedumu lietā Nr.A420273718, SKA-90/2023  Senāts ir atzinis sekojošo, proti, ja uz vienas zemes vienības atrodas vairākas funkcionāli nesaistītas ēkas, tās ir atzīstamas par atsevišķiem adresācijas objektiem un tāpēc tiem nevar būt viena adrese. Kritērijs, kam ir nozīme, nosakot adresācijas objektu, ir ēku funkcionālā patstāvība. Vienlaikus vēršama uzmanība, ka ne visos gadījumos tas tā arī ir. Iekšlietu ministrijas nekustamo īpašumu portfelī joprojām ir ēkas, kas, lai arī funkcionāli vai kādā citā veidā ir cieši saistītas, atrodas dažādās adresēs.  Turklāt, ēkas var arī nebūt funkcionāli saistītas, bet var tikt izmantotas vienam mērķim - iekšlietu dienestu darbības nodrošināšanai. Ievērojot minēto, lai projekta iesniedzējam nevajadzētu sniegt vairākus atsevišķus projekta iesniegumus tikai tāpēc, ka ēku grupa atrodas dažādās adresēs, precizēt projekta 14.punktā ietverto nosacījumu attiecībā uz ēku atrašanos vienā adresē.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Sirmā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23-TA-3037</w:t>
    </w:r>
    <w:r>
      <w:br/>
    </w:r>
    <w:r w:rsidR="00000000" w:rsidRPr="00000000" w:rsidDel="00000000">
      <w:rPr>
        <w:rtl w:val="0"/>
      </w:rPr>
      <w:t xml:space="preserve">Izdrukāts 25.09.2024.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23-TA-3037</w:t>
    </w:r>
    <w:r>
      <w:br/>
    </w:r>
    <w:r w:rsidR="00000000" w:rsidRPr="00000000" w:rsidDel="00000000">
      <w:rPr>
        <w:rtl w:val="0"/>
      </w:rPr>
      <w:t xml:space="preserve">Izdrukāts 25.09.2024.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Atzinumi_23-TA-3037.docx</dc:title>
</cp:coreProperties>
</file>

<file path=docProps/custom.xml><?xml version="1.0" encoding="utf-8"?>
<Properties xmlns="http://schemas.openxmlformats.org/officeDocument/2006/custom-properties" xmlns:vt="http://schemas.openxmlformats.org/officeDocument/2006/docPropsVTypes"/>
</file>