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neiebilst pret šādu kritēriju izstrādi, taču uzskata, ka šī darba vadība jāuzņemas Tieslietu ministrijai kā atbildīgajai par Direktīvas (ES) 2024/1203 pārņemšanu.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Klimata un enerģētikas ministriju un Viedās administrācijas un reģionālās attīstības ministriju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22.12.2025.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22.12.2025.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