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koku ciršanas maksimāli pieļaujamo apjomu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(VMD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pieļaujamā koku ciršanas apjoma aprēķinā nedrīkst iekļaut vismaz līdzšinēji valsts mežos identificēto nenocirsto Eiropas Savienības nozīmes meža biotopus teritorijas, kā arī sadarbībā ar VARAM  noteikto potenciāli nepieciešamo Natura 2000 teritoriju paplašinājumu meža teritorijas. Aprēķinos jāietver arī ES Bioloģiskās daudzveidības stratēģijas 30% un 10% mērķu izpildei nepieciešamo meža teritoriju apsaimniekošanas ierobežojumi. Izprotot, ka maksimāli pieļaujamā koku ciršanas apjoma aprēķins attiecas uz valsts mežu apsaimniekošanu un koksnes ieguvi, tad nesaprotams ir Sabiedrības iebildumu un priekšlikumu apkopojumā paustais kamēr biotopam nav noteikts aizsardzības statuss, biotopa aizsardzība ir meža īpašnieka brīva griba.  Neietverot iepriekš minētās teritorijas maksimāli pieļaujamā koku ciršanas apjoma aprēķinā veidojas pretrunas ar tiesību akta projekta "Par koku ciršanas maksimāli pieļaujamo apjomu 2026.–2030. gadam" sākotnējās ietekmes (ex-ante) novērtējuma ziņojuma (anotācija) mērķa aprakstu, kurā minēts ka maksimāli pieļaujamā koku ciršanas apjoma noteikšanas mērķis ir regulēt koksnes ražas novākšanu valsts mežos, lai nodrošinātu ilgtspējīgu meža apsaimniekošanu un stabilu un prognozējamu koksnes produktu piegādi, ievērojot esošos dabas aizsardzības un rekreācijas vajadzībām noteiktos meža apsaimniekošanas ierobežojumus. Neietverot aprēķinā nākamā piecgadē sagaidāmos dabas aizsardzības normatīvās vides vai labās prakses ierobežojumus, veidojas klaja pretruna ar ilgtspējīgas mežsaimniecības būtību un arī šaurāk ilgtspējīgas koksnes plūsmas nodrošinājumu nākotnē, veidojot plašākas negatīvās ietekmes uz meža ekosistēmu no bioloģiskās daudzveidības viedokļa, klimata pārmaiņu ietekmēm un CO2 piesaistes, kā arī nozīmīgus riskus un neprognozējamību nākotnes koksnes plūsmās no valsts mežiem koksnes pārstrādes sektoram.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Rotbergs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23.08.2024.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23.08.2024.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Atzinumi_24-TA-1490.docx</dc:title>
</cp:coreProperties>
</file>

<file path=docProps/custom.xml><?xml version="1.0" encoding="utf-8"?>
<Properties xmlns="http://schemas.openxmlformats.org/officeDocument/2006/custom-properties" xmlns:vt="http://schemas.openxmlformats.org/officeDocument/2006/docPropsVTypes"/>
</file>