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6.</w:t>
            </w:r>
            <w:r w:rsidR="00000000" w:rsidRPr="00000000" w:rsidDel="00000000">
              <w:rPr>
                <w:b w:val="1"/>
                <w:vertAlign w:val="superscript"/>
                <w:rtl w:val="0"/>
              </w:rPr>
              <w:t xml:space="preserve">1</w:t>
            </w:r>
            <w:r w:rsidR="00000000" w:rsidRPr="00000000" w:rsidDel="00000000">
              <w:rPr>
                <w:b w:val="1"/>
                <w:rtl w:val="0"/>
              </w:rPr>
              <w:t xml:space="preserve"> Dalības fondēto pensiju shēmā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Fondēto pensiju shēmas dalībnieks ne agrāk kā piecus gadus pirms  likumā “Par valsts pensijām” noteiktā vecuma pensijas piešķiršanai nepieciešamā vecuma sasniegšanas var iesniegt Aģentūrā iesniegumu par turpmāku dalības fondēto pensiju shēmā pārtraukšanu. Ja dalībnieks ir izdarījis šā likuma 3.</w:t>
            </w:r>
            <w:r w:rsidR="00000000" w:rsidRPr="00000000" w:rsidDel="00000000">
              <w:rPr>
                <w:vertAlign w:val="superscript"/>
                <w:rtl w:val="0"/>
              </w:rPr>
              <w:t xml:space="preserve">1</w:t>
            </w:r>
            <w:r w:rsidR="00000000" w:rsidRPr="00000000" w:rsidDel="00000000">
              <w:rPr>
                <w:rtl w:val="0"/>
              </w:rPr>
              <w:t xml:space="preserve"> pantā minēto izvēli, tā vairs nav spēkā no dienas, kad ir pārtraukta dalība fondēto pensiju shēmā. Dalībnieka izdarītā izvēle pārtraukt turpmāku dalību fondēto pensiju shēmā ir galīga, nav pārskatāma un viņa turpmāka dalība fondēto pensiju shēmā nav atjaunojama.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Aģentūra, saņemot šā panta pirmajā daļā minēto iesniegumu, slēdz fondēto pensiju shēmas dalībnieka kontu, fondētās pensijas kapitālu pievieno iesnieguma iesniegšanas gadā uzkrātajam nefondētajam pensijas kapitālam un turpmāk to aktualizē atbilstoši likumā “Par valsts pensijām”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sniegt pamatojumu, kādēļ likumprojekts paredz noteikt termiņu konkrēti </w:t>
            </w:r>
            <w:r w:rsidR="00000000" w:rsidRPr="00000000" w:rsidDel="00000000">
              <w:rPr>
                <w:b w:val="1"/>
                <w:rtl w:val="0"/>
              </w:rPr>
              <w:t xml:space="preserve">ne agrāk kā piecus gadus </w:t>
            </w:r>
            <w:r w:rsidR="00000000" w:rsidRPr="00000000" w:rsidDel="00000000">
              <w:rPr>
                <w:rtl w:val="0"/>
              </w:rPr>
              <w:t xml:space="preserve">pirms likumā “Par valsts pensijām” noteiktā vecuma pensijas piešķiršanai nepieciešamā vecuma sasniegšanas - paredzot iespēju iesniegt Aģentūrā iesniegumu par turpmāku dalības fondēto pensiju shēmā pārtraukšanu. Lai būtu skaidrs pamatojums minētā termiņa noteikšanai, uz kā pamata jaunākas personas nevērs izmantot minēto iespēju.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fondēto pensiju shēmas dalībnieks ir izdarījis izvēli atbilstoši šā likuma 3.</w:t>
            </w:r>
            <w:r w:rsidR="00000000" w:rsidRPr="00000000" w:rsidDel="00000000">
              <w:rPr>
                <w:vertAlign w:val="superscript"/>
                <w:rtl w:val="0"/>
              </w:rPr>
              <w:t xml:space="preserve">1</w:t>
            </w:r>
            <w:r w:rsidR="00000000" w:rsidRPr="00000000" w:rsidDel="00000000">
              <w:rPr>
                <w:rtl w:val="0"/>
              </w:rPr>
              <w:t xml:space="preserve"> panta pirmās daļas 3. punktam, bet: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10 gadu laikā no viņa nāves dienas Aģentūra nav saņēmusi mantinieka pieprasījumu izmaksāt fondētās pensijas kapitālu, neizmaksātais fondētās pensijas kapitāls tiek ieskaitīts valsts pensiju speciālajā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mantojums ir atzīts par bezmantinieka mantu un zvērināts notārs Aģentūrā ir iesniedzis aktu par mantojuma lietas izbeigšanu, Civillikumā noteiktā bezmantinieka mantas piekritība valstij ir saprotama kā piekritība valsts pensiju speciālajam budžetam daļā par fondētās pensijas kapitālu, no kura nesedz kreditoru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ar šī likumprojekta 2. pantu paredzēts atkāpties no vispārējās kārtības attiecībā uz mirušā kreditoru tiesībām pretendēt uz savas kreditoru pretenzijas segšanu gadījumā, ja parādnieka mantojums atzīts par bezmantinieka mantu. Tieslietu ministrija lūdz ietvert anotācijā plašāku izvērtējumu un skaidrojumu par to, kāpēc personas uzkrātais fondētās pensijas kapitāls, ja tās mantojums atzīts par bezmantinieka mantu, nepiedalās mirušās personas kreditoru prasījumu segšanā (tajā skaitā anotācijā nepieciešams iekļaut izvērtējumu par to, vai šāds regulējums atbilst Satversmes 105.pantam, kas aizsargā katras personas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šobrīd saskaņā ar Civillikuma 382. pantu mantojums ir kopība, kurā ietilpst visa kustamā un nekustamā manta, kā arī citiem atdodamās tiesības un saistības, kas mirušam vai par mirušu izsludinātam piederējušas viņa patiesās vai tiesiski pieņemamās nāves laikā. Tādējādi, ja fondēto pensiju shēmas dalībnieks ir izdarījis izvēli atbilstoši Valsts fondēto pensiju likuma 3.</w:t>
            </w:r>
            <w:r w:rsidR="00000000" w:rsidRPr="00000000" w:rsidDel="00000000">
              <w:rPr>
                <w:vertAlign w:val="superscript"/>
                <w:rtl w:val="0"/>
              </w:rPr>
              <w:t xml:space="preserve">1</w:t>
            </w:r>
            <w:r w:rsidR="00000000" w:rsidRPr="00000000" w:rsidDel="00000000">
              <w:rPr>
                <w:rtl w:val="0"/>
              </w:rPr>
              <w:t xml:space="preserve"> panta pirmās daļas 3. punktam (par kapitāla mantošanu tā nāves gadījumā), būtu uzskatāms, ka šis uzkrātais fondētās pensijas kapitāls tomēr ietilpst mirušā mantojuma masā un attiecīgi saskaņā ar vispārējo regulējumu (Civillikuma 416. pantu) uz šo mantu, savu prasījumu segšanai, var pretendēt arī mirušā tiesīgie kreditori. Līdz ar to, lai atkāptos no vispārējās kārtības, nepieciešams pamatojums šāda regulējuma pieļaujamībai un izvērtējums par tā atbilstību Satversmei.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6. sadaļā likumprojekta autoram sākumā jāatzīmē, vai likumprojektam ir jānodrošina sabiedrības līdzdalība. No anotācijā sniegtās informācijas izriet, ka sabiedrības līdzdalība nav nodrošināta. Ja likumprojektam sabiedrības līdzdalība nav nodrošināta, tad ir jāaizpilda, ka sabiedrības līdzdalība nav nodrošināta un šī izvēle ir jāpaskaidro iznirstošā laukā "Skaidrojums", ietverot atbilstošu pamatojumu. Likumprojekta anotācijā tiek norādīts, ka </w:t>
            </w:r>
            <w:r w:rsidR="00000000" w:rsidRPr="00000000" w:rsidDel="00000000">
              <w:rPr>
                <w:i w:val="1"/>
                <w:rtl w:val="0"/>
              </w:rPr>
              <w:t xml:space="preserve">atsevišķa sabiedrības līdzdalība un komunikācija par likumprojektu nav paredzēta. Stājoties spēkā likumprojektam, sabiedrība kompleksi tiks informēta par izmaiņām normatīvajā regulējumā un tā ietekmi uz ikdienu, gan izmantojot valsts iestāžu tīmekļa vietnes, gan medijus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norāda, ka 6.4. apakšpunktā minētā kārtība nesniedz pamatojumu tam kādēļ sabiedrības līdzdalība netiek nodrošināta. Lūdzam sniegt konkrētu pamatojumu kādēļ ar likumprojektu netiek nodrošināta sabiedrības līdzdalība, ņemot vērā to, ka likumprojekts skar sabiedrību un labas likumdošanas princips šādā gadījumā prasa nodrošināt sabiedrības līdzdalību, vai sniegt konkrētu pamatojumu tam kādēļ tā netiek nodrošināta.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6. sadaļas 6.2., 6.3., un 6.4. apakšpunktu norādot atbilstošu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likumprojekta sākotnējās ietekmes novērtējuma ziņojuma sagatavošanai vienotajā tiesību aktu izstrādes un saskaņošanas portālā anotācijā ir jāsniedz informācija, kā likumprojekts ietekmēs katru no mērķgrupām – tieši vai netieši, kāds ir mērķgrupas lielums (ja to ir iespējams novērtēt), kā arī jebkādu citu skaidrojošu informāciju par mērķgrupu. Ņemot vērā minēto, lūdzam būtiski precizēt anotācijas 7. sadaļu, jo nav sniegta informācijā kā likumprojekts ietekmēs katru 7.1. apakšpunktā minēto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Vēršam uzmanību, ka publiskai pārvaldei slogu aprēķina sākot no 1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Šā likuma 6.</w:t>
            </w:r>
            <w:r w:rsidR="00000000" w:rsidRPr="00000000" w:rsidDel="00000000">
              <w:rPr>
                <w:vertAlign w:val="superscript"/>
                <w:rtl w:val="0"/>
              </w:rPr>
              <w:t xml:space="preserve">1</w:t>
            </w:r>
            <w:r w:rsidR="00000000" w:rsidRPr="00000000" w:rsidDel="00000000">
              <w:rPr>
                <w:rtl w:val="0"/>
              </w:rPr>
              <w:t xml:space="preserve"> pants stājas spēkā 2025. gada 1. 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ietverot pamatojumu, tam kādēļ likumprojekts paredz citu spēkā stāšanās laiku likuma 6.</w:t>
            </w:r>
            <w:r w:rsidR="00000000" w:rsidRPr="00000000" w:rsidDel="00000000">
              <w:rPr>
                <w:vertAlign w:val="superscript"/>
                <w:rtl w:val="0"/>
              </w:rPr>
              <w:t xml:space="preserve">1</w:t>
            </w:r>
            <w:r w:rsidR="00000000" w:rsidRPr="00000000" w:rsidDel="00000000">
              <w:rPr>
                <w:rtl w:val="0"/>
              </w:rPr>
              <w:t xml:space="preserve"> pantam, ņemot vērā to, ka tiek noteikts, ka likuma 6.</w:t>
            </w:r>
            <w:r w:rsidR="00000000" w:rsidRPr="00000000" w:rsidDel="00000000">
              <w:rPr>
                <w:vertAlign w:val="superscript"/>
                <w:rtl w:val="0"/>
              </w:rPr>
              <w:t xml:space="preserve">1</w:t>
            </w:r>
            <w:r w:rsidR="00000000" w:rsidRPr="00000000" w:rsidDel="00000000">
              <w:rPr>
                <w:rtl w:val="0"/>
              </w:rPr>
              <w:t xml:space="preserve"> pants stājas spēkā 2025. gada 1. jūlijā, taču pārējie grozījumi stājas spēkā 2025.gada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02.08.2024.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02.08.2024.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