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siltumnīcefekta gāzu emisijas atļaujas izsniegšanu un grozīšanu maksājama valsts nodeva. Ministru kabinets nosaka nodevas maksāšanas kārtību, likmes un atvieglojumus.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šajā pantā tiek paredzēts deleģējums Ministru kabinetam noteikt nodevas maksāšanas kārtību, likmes un atvieglojumus, kā arī ņemot vērā, ka minētie atvieglojumi potenciāli var tik piešķirti saimnieciskās darbības veicējiem atbalsts, kuriem varētu tikt kvalificēts kā komercdarbības atbalsts saskaņā ar Komercdarbības atbalsta kontroles likuma 5.pantā minētajām pazīmēm, lūdzam papildināt likumprojekta 14.pantā ietverto deleģējumu ar Ministru kabineta pienākumu noteikt, t.sk., komercdarbības atbalsta piešķiršanas nosacījumus attiecībā uz plānotajiem nodevas atvieglojumiem. Atbilstoši lūdzam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lemjot par publisko resursu piešķiršanu saimnieciskās darbības veicējiem, ir saistoša arī komercdarbības atbalsta kontroles normu ievērošana, lūdzam papildināt Ministru kabineta deleģējumu likumprojekta 34.panta septītajā daļā (pēc analoģijas ar likumprojekta 38.panta otro daļā ietverto attiecībā uz komercdarbības atbalsta piešķiršanas nosacījumiem), paredzot, ka, izstrādājot atbalsta programmas, Ministru kabinets noteiks arī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Gunita Galauska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Nr.2023/956 11. panta pirmā 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Atsauci uz regulas panta punktu raksta ar arābu cipariem, nevis vārdiem,  līdz ar to lūdzam precizēt atsauci uz Regulas Nr.2023/956 11. panta 1.punktu.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kompetentā iestāde Regulas Nr.2023/956 11. panta 1.punkta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Baikova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ieņēmumu dienests par Regulas 2023/956 26. pantā un Regulas 2023/1773 16. pantā paredzēto atbildību izdod administratīvo aktu.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gramatiski labot tekstu, izsakot to šādā redakcijā: (2) Valsts ieņēmumu dienests Regulas 2023/956 26. pantā un Regulas 2023/1773 16. pantā noteiktos sodus uzliek, izdodot administratīvo 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Laine Paspārne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norādīts, ka “Nodevas mērķis ir </w:t>
            </w:r>
            <w:r w:rsidR="00000000" w:rsidRPr="00000000" w:rsidDel="00000000">
              <w:rPr>
                <w:u w:val="single"/>
                <w:rtl w:val="0"/>
              </w:rPr>
              <w:t xml:space="preserve">nodrošināt VVD veicamo darbību</w:t>
            </w:r>
            <w:r w:rsidR="00000000" w:rsidRPr="00000000" w:rsidDel="00000000">
              <w:rPr>
                <w:rtl w:val="0"/>
              </w:rPr>
              <w:t xml:space="preserve">, kura ir saistīta ar personu darbību regulēšanu un uzraudzību vides jomā, tai skaitā kontrolēt un ierobežot personu (operatoru) darbību, un sekmētu A vai B kategoriju atļaujas un SEG atļaujas kontroli un izsniegšanu.”.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likuma “Par nodokļiem un nodevām” 1. panta 2. punktā norādītajam, valsts nodevas mērķis </w:t>
            </w:r>
            <w:r w:rsidR="00000000" w:rsidRPr="00000000" w:rsidDel="00000000">
              <w:rPr>
                <w:b w:val="1"/>
                <w:rtl w:val="0"/>
              </w:rPr>
              <w:t xml:space="preserve">ir personu darbību regulēšana</w:t>
            </w:r>
            <w:r w:rsidR="00000000" w:rsidRPr="00000000" w:rsidDel="00000000">
              <w:rPr>
                <w:rtl w:val="0"/>
              </w:rPr>
              <w:t xml:space="preserve"> (kontrolēšana, veicināšana, ierobežošana). Nodevas mērķis nevar būt saistīts ar sniegtā pakalpojuma ietvaros iestādes veicamo darbību finansiālu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nozīmē "sekmēt atļaujas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izslēgt no anotācijas 1.3. apakšpunkta vārdus “nodrošināt VVD veicamo darbību”, attiecīgi precizējot iepriekš norādīto teikumu atbilstoši likuma “Par nodokļiem un nodevām” 1. panta 2. punktā norādītajam valsts nodevas mērķim.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Skaldmanis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VI nodaļā tiek noteikts, ka pašvaldībām un plānošanas reģioniem ir saistoši nacionālie klimata mērķi, atbilstoši kuriem pašvaldību ilgtspējīgas attīstības stratēģijās, attīstības programmās un, ja nepieciešams, arī citos teritorijas attīstības plānošanas dokumentos jāiekļauj attiecīgi pasākumi, līdz ar to šo mērķu sasniegšanai var būt nepieciešami papildu līdzekļi no pašvaldību budžetiem. Ņemot vērā minēto, vēršam uzmanību, ka par attiecīgajām normām ir būtisks Latvijas Pašvaldību savienības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Lāsma Locāne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3.sadaļas 6.punktā ir precizēt nepieciešamā finansējuma apjoms ETS2 uzraudzības funkciju (SEG atļauju izsniegšana, grozīšana, monitoringa plānu un ikgadējo SEG emisiju ziņojumu pārbaude un apstiprināšana) izpildei no 46 000 euro uz 56 000 euro apmērā, attiecīgi lūdzam atbilstoši tam precizēt 2027.gadam ailē “izmaiņas, salīdzinot ar vidēja termiņa budžeta ietvaru” 1.1. un 2.1. apakšpunktos norādītās izmaiņas, norādot ietekmi “- 234 614”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Kote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10.05.2024.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