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“Vēlēšanu procesa digitalizācija un automatizācija” pases un centralizētas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2026.gadā Centrālajai vēlēšanu komisijai ne vairāk kā 142 506 euro un sākot ar 2027.gadu ne vairāk kā 134 510  euro gadā. Nepieciešamo finansējumu pieprasīt normatīvajos aktos noteiktajā kārtībā, ievērojot Likuma par budžetu un finanšu vadību 9.1 panta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5.punktā noteikt tikai Vides aizsardzības un reģionālās attīstības ministrijai (Valsts reģionālai attīstības aģentūrai) plānotās projekta uzturēšanas izmaksas, kurām finansējums pieprasāmas saskaņā ar Likuma par budžetu un finanšu vadību 9.</w:t>
            </w:r>
            <w:r w:rsidR="00000000" w:rsidRPr="00000000" w:rsidDel="00000000">
              <w:rPr>
                <w:vertAlign w:val="superscript"/>
                <w:rtl w:val="0"/>
              </w:rPr>
              <w:t xml:space="preserve">1 </w:t>
            </w:r>
            <w:r w:rsidR="00000000" w:rsidRPr="00000000" w:rsidDel="00000000">
              <w:rPr>
                <w:rtl w:val="0"/>
              </w:rPr>
              <w:t xml:space="preserve">panta otrajā daļā noteikto, savukārt rīkojuma projekta 5.1. apakšpunktu izteikt kā atsevišķu rīkojuma projekta punktu, ņemot vērā, ka finansējums 2 jaunu amata vietu izveidošanai ir pieprasāms likumprojekta "Par valsts budžetu 2026. gadam un budžeta ietvaru  2026., 2027. un 2028. gadam" sagatavošanas procesā kopā ar visu ministriju un citu centrālo valsts iestāžu prioritāro pasākumu pieteikumiem, ievērojot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amata vietu skaita izmaiņas ir jāskaņo ar Valsts kanceleju.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izvērtēt iespēju papildināt pasi ar informāciju, ka projekta īstenošanai ir neitrāla ietekme uz valsts pārvaldes darbinieku skaitu, proti, projektu iespējams ieviest ar esošajiem iestāžu darbinieku resursiem.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“Vēlēšanu procesu digitalizācija un automatizācija ”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rīkojuma projektā noteiktajam, finansējuma saņēmējs ir Valsts reģionālās attīstības aģentūra (turpmāk - VRAA). Lai nerastos interpretācijas iespējas, lūdzam precizēt anotāciju un rīkojuma projekta pielikumus skaidri norādot, ka Centrālā vēlēšanu komisija ir sadarbības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VRAA nav minētā Ministru kabineta 2022. gada 19. jūlija noteikumu Nr. 435 "Eiropas Savienības Atveseļošanas un noturības mehānisma plāna 2. komponentes "Digitālā transformācija" 2.1. reformu un investīciju virziena "Valsts pārvaldes, tai skaitā pašvaldību, digitālā transformācija" īstenošanas noteikumi" 4. pielikumā (arī minēto MK noteikumu grozījumu projektā), lūdzam anotācijā sniegt pamatojumu attiecībā uz VRAA izvēli kā finansējumu saņēmēju šajā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tiks izskatīts Ministru kabineta sēdē 2024.gadā, lūdzam precizēt anotācijas 3.sadaļā sniegto informāciju, proti, kā kārtējo gadu norādīt 2024.gadu un attiecīgi 2024., 2025. un 2026.gadam ailēs “izmaiņas kārtējā gadā, salīdzinot ar valsts budžetu kārtējam gadam” un “izmaiņas, salīdzinot ar vidēja termiņa budžeta ietvaru” precizēt 1.-5.punktos sniegto informāciju, lai tā atbilstu 6.punktā sniegtajai informācijai par projekta īstenošanas izdevumiem sadalījumā pa gadiem, kā arī ailēs “saskaņā ar vidēja termiņa budžeta ietvaru” norādīt “0”, ņemot vērā, ka projekta īstenošanai šobrīd ne Vides aizsardzības un reģionālās attīstības ministrijas (Valsts reģionālās attīstības aģentūras), ne Centrālās vēlēšanu komisijas budžetā nav paredzēts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ailē “izmaiņas, salīdzinot ar vidēja termiņa budžeta ietvaru” 2.1.punktā 2026. un 2027.gadam norādīt arī plānotās izmaksas pēc projekta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6.punktu papildināt ar nepieciešamā finansējuma aprēķinu izmaksām pēc projekta beigām gan attiecībā uz Vides aizsardzības un reģionālās attīstības ministriju (Valsts reģionālās attīstības aģentūru), gan Centrālo vēlēšanu komisiju, tai skaitā pārceļot uz 6.punktu šobrīd 7.punktā norādīto informāciju par papildus nepieciešamo valsts budžeta finansējumu jaunajām amata vietām, vienlaikus skaidrojot pēc būtības šādu izmaksu nepieciešamību, un 7.punktā atstājot informāciju tikai par amata vietu skaita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pēdējo rindkopu, norādot, ka jautājums par nepieciešamo papildu finansējumu jaunām amata vietām ir izskatāms likumprojekta "Par valsts budžetu 2026. gadam un budžeta ietvaru  2026., 2027. un 2028. gadam" sagatavošanas procesā kopā ar visu ministriju un citu centrālo valsts iestāžu prioritāro pasākumu pieteikumiem, ievērojot valsts budžeta finansiālās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2026.gadā Valsts reģionālās attīstības aģentūrai ne vairāk kā 317 917 euro un sākot ar 2027.gadu ne vairāk kā 545 000  euro gadā. Nepieciešamo finansējumu pieprasīt normatīvajos aktos noteiktajā kārtībā, ievērojot Likuma par budžetu un finanšu vadību 9.1 panta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rīkojuma 5.2.apakšpunktā atsauci uz Likuma par budžetu un finanšu vadību pantu, t.i., aizstāt skaitli "9.1" ar skaitli "9.</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“Vēlēšanu procesu digitalizācija un automatizācija ”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tiek grozīti Ministru kabineta 2022. gada 19. jūlija noteikumi Nr. 435 "Eiropas Savienības Atveseļošanas un noturības mehānisma plāna 2. komponentes "Digitālā transformācija" 2.1. reformu un investīciju virziena "Valsts pārvaldes, tai skaitā pašvaldību, digitālā transformācija" īstenošanas noteikumi", kuri paredz izmaiņas investīcijas nolūkā "2.1.1.1. Vēlēšanu procesu digitalizācija un automatizācija " un investīcijas nolūka "2.1.3.1. Vienotās datu koplietošanas platformas attīstība, vides nozares un sociālo pakalpojumu datu pieejamības un koplietošanas nodrošināšana, kā arī priekšnosacījumu radīšana inovatīviem mobilitātes pakalpojumiem, nodrošinot tīkla kvalitātes digitālo kartējumu" (turpmāk - 2.1.3.1. nolūks), lūdzam papildināt anotāciju vai izziņu ar informāciju attiecībā uz visiem 2.1.3.1. nolūka ietvaros plānotājiem projektiem, lai būtu iespējams pārbaudīt šī konkrēta projekta finansējuma atbilstību apstiprinātajam Atveseļošanas un noturības mehānisma plānam.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“Vēlēšanu procesu digitalizācija un automatizācija ”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Anotācijās 1.6.sadaļā “Cita informācija” ir iekļauta informācija, ka “Valsts reģionālās attīstības aģentūra (turpmāk – VRAA) kā finansējuma saņēmējam sniegtais atbalsts nav kvalificējams kā komercdarbības atbalsts, jo tas tiks piešķirts valsts deleģētas funkcijas veikšanai”. Ņemot vērā, ka tā ir būtiska informācija projekta izvērtēšanai, lūdzam šo informāciju iekļaut arī 2.1.3.1.i. investīcijas projekta “Vēlēšanu procesu digitalizācija un automatizācija ” pasē.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Suzanna Kuļčuka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23-TA-3152</w:t>
    </w:r>
    <w:r>
      <w:br/>
    </w:r>
    <w:r w:rsidR="00000000" w:rsidRPr="00000000" w:rsidDel="00000000">
      <w:rPr>
        <w:rtl w:val="0"/>
      </w:rPr>
      <w:t xml:space="preserve">Izdrukāts 29.12.2023. 10.10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23-TA-3152</w:t>
    </w:r>
    <w:r>
      <w:br/>
    </w:r>
    <w:r w:rsidR="00000000" w:rsidRPr="00000000" w:rsidDel="00000000">
      <w:rPr>
        <w:rtl w:val="0"/>
      </w:rPr>
      <w:t xml:space="preserve">Izdrukāts 29.12.2023. 10.10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Atzinumi_23-TA-3152.docx</dc:title>
</cp:coreProperties>
</file>

<file path=docProps/custom.xml><?xml version="1.0" encoding="utf-8"?>
<Properties xmlns="http://schemas.openxmlformats.org/officeDocument/2006/custom-properties" xmlns:vt="http://schemas.openxmlformats.org/officeDocument/2006/docPropsVTypes"/>
</file>