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mākslīgā intelekta sistēma izveidota no jauna vai tiek plānotas būtiskas izmaiņas esošā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"būtiskas izmaiņas", nosakot vai nu noteiktu %, vai arī kādas specifiskas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izriet, ka, iesniedzējs ir kompetentā institūcija un tā pilnībā uzņemas atbildību par visu faktoru izpildi un uzraudzību, kas nosaka atbildības novirzīšanu uz organizāciju, kas sniedz pakalpojumu/labumu, bez uzraudzības.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Centra lēmums par projektu iesniegumu atlases nolikuma apstiprināšanu nav apstrīdams un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iespējamu kļūdainu nolikumu, aicinājums papildināt ar diskusijām ar ekosistēmu/partneriem pie izstrādes vai saskaņošanas.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mākslīgā intelekta sistēma atbilst kādai no  Mākslīgā intelekta centra likuma 4. panta pirmās daļas 1. punktā minētajām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MIC likuma 4. pants ir par MIC uzdevumiem, ne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Centrs savā tīmekļvietnē izvieto paziņojumu par atklātas projektu iesniegumu atlases izsludināšanu un projektu iesniegumu atlases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pretrunā 6. punktam, jo te nav iekļauta informācija par to, ka arī ierobežotās kārtas pieteikumi tiks publicēti.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Iesniedzējs iesniedz Centram projekta iesniegumu par regulatīvās vides izveidi. Iesniedzējs var iesniegt vairākus projektu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punkta otrā daļa ir nepilnīga, jo nav noteikts, kādā kapacitātē var iesniegt vairākus projektu iesniegumus – kā vadošais partneris, kā partneris, kā tiks diferencēti un noteikti "unikāli" pieteikumi, nevis dublētas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Pirms projektu iesniegumu vērtēšanas Centrs trīs darba dienu laikā no iesnieguma saņemšanas dienas nosūta projekta iesniegumu kompetentām institūcijām. Kompetentā institūcija desmit darba dienu laikā no projekta iesnieguma saņemšanas sniedz Centram atzinumu par projekta iesniegumu,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5. punktā minētā kompetentā institūcija pati vērtē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tā uztur pietiekamus finanšu resursus, lai izpildītu šā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šā likuma prasības, ir jāprecizē, kas ir pietiekami finanšu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Regulatīvās vides nodrošinātāja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un tā apakšpunkti nosaka ierobežotu partneru loku, kas atbilst. Lūgums vienkāršot atbilstības kritērijus. Jāprecizē valodas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mākslīgā intelekta risinājums, kas tiek attīstīts regulatīvajā vidē, nedrīkst tikt izmantots produkcijas vidē, līdz tas ir pilnībā testēts un validēts, lai nodrošinātu atbilstību drošības, regulējošajām un kvalitātes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lai ievērotu minimālās birokrātijas prasības un atbilstu tirgus dinamikai.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