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pirms norīkošanas amatā par atbildīgo personu  dienesta vajadzībām klasificētās informācijas lietvedības un fiziskās drošības pasākumu ieviešanai un ievērošanai pārbauda kompetentā valsts drošības iestāde. Par atbildīgo personu var būt persona, kurai izsniegta speciālā atļauja vai kura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34.punkts paredz jaunu valsts noslēpuma aizsardzības elementu, proti,  kompetentās valsts drošības iestādes pienākumu veikt pārbaudi personām, kuras institūcija norīko par atbildīgo personu dienesta vajadzībām klasificētās informācijas lietvedības un fiziskās drošības pasākumu ieviešanai un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Norādāms, ka  nepieciešams veikt izvērtējumu, vai atbildīgajai personai par informāciju dienesta vajadzībām netiek paredzētas stingrākas prasības nekā likumā “Par valsts noslēpumu” noteiktās prasības personai, kurai nepieciešams saņem speciālo atļauju pieejai valsts noslēpuma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uz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valsts noslēpumu” devītā panta ceturtā daļa paredzi, ka pamatojoties uz tās institūcijas priekšlikumu, kura iniciēja pārbaudi, vai pēc savas iniciatīvas valsts drošības iestādes vadītājs pēc pārbaudes izdarīšanas var atļaut pieeju konfidenciālam, slepenam un sevišķi slepenam valsts noslēpumam atsevišķām personām, kurām to ierobežo šā panta trešās daļas 3. punkta nosacījumi, ja nav izdarīts sevišķi smags noziegums, — neatkarīgi no sodāmības dzēšanas vai noņemšanas. Projektā  (skatīt  34.2., 34.3., 34.4. apakšpunktu)  šāds izņēmums attiecībā uz atbildīgo personu par informāciju dienesta vajadzībām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 pēc narkologa un psihiatra atzinuma par to, ka personai nav diagnosticēti psihiski traucējumi vai alkohola, narkotisko, psihotropo vai toksisko vielu atkarība (projekta 34.8.apakšpunkts) rada līdzību ar likuma “Par valsts noslēpuma” 9.panta trešās daļas 7.punktu. Likuma “Par valsts noslēpumu” 9.panta trešajā divi prim daļā ir ietverts deleģējums Ministru kabinetam  noteikt  likuma 9.panta trešās daļas 7. punktā paredzētās medicīniskās pretindikācijas speciālās atļaujas izsniegšanai un kārtību, kādā persona tiek nosūtīta uz veselības pārbaudi, kā arī ārstniecības iestādes, kurās izveido veselības pārbaudes komisiju, šīs komisijas darba organizāciju, veselības pārbaudes veikšanas un apmaksas kārtību. Minētie noteikumi paredz nosacījumus un kārtību, kādā veic personas veselības pārbaudi,  kas ir labvēlīgāks nosacījumu kopums personai nekā projektā ietvertais regulējums attiecībā uz atbildīgo personu par informāciju dienesta vajadzībām, jo netiek paredzētas konkrētas medicīniskās pretindikācijas, kas var būt par pamatu, lai persona nevarētu tikt noteikta par atbildīgo personu attiecībā dienesta vajadzībām klasificēto informāciju. Vienlaikus norādāms, ka nav skaidrs, kas veic apmaksu par veikto veselības pārbaudi un atzinuma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paredzēts projekta 34.9.apakšpunktā noteiktās informācijas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attiecīgie jautājumi ir izdiskutējami un precizējams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Kompetentā valsts drošības iestāde vai Nacionālā drošības iestāde, ja iesaistīta NATO, ES vai ārvalstu dienesta vajadzībām klasificētā informācija, var pieļaut atkāpes no šajos noteikumos minētajām fiziskās drošības prasībām vai noteikt papildus fiziskās drošības prasības, pamatojoties  uz institūcijas veikto un ar kompetento valsts drošības iestādi vai Nacionālo drošības iestādi saskaņoto risku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49.punktā ietvertais regulējums var tikt interpretēts tādējādi, ka risku novērtējums veicams tikai gadījumā, ja paredzētas atkāpes vai papildu fiziskās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projektu, paredzot regulējumu, kas nosaka pienākumu veikt risku novērtējumu un minimālās prasības, kas tajā jāietver.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Dienesta vajadzībām klasificētās informācijas fiziskā drošība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3.3.apakšnodaļu, paredzot pienākumu institūcijai iesniegt kompetentajai valsts drošības iestādei pieteikumu kā pirmatnējā, tā atkārtotā risku novērtējuma un atzinuma saņemšanai. Šāds pieteikums kalpos gan kā pamatojums pārbaudes veikšanai, gan arī valsts drošības iestādēm būs ērtāk plānot un veikt attiecīgās pārbaudes. Papildu šim pieteikumam ir jāpievieno visi pārbaudei nepieciešamie dokumenti, ko kopā ar pieteikumu valsts drošības iestādes izvērtēs (līdzīgi kā tas ir noteikts projekta 73.punktā).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90.6. nosūtāmo dokumentu papildina ar norādi, ka iespējama tā iznīcināšana pie noteiktiem apstākļiem, piemēram, informatīvā ziņojuma jaunas versijas izstrādes gadījumā, iepriekšējo versiju var iznīcināt, vai pēc noteikta laika, piemēram, pārskats par konkrētu tēmu, kas pēc zināma laika zaudē savu aktualitāti;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vienmēr dokumentu ir nepieciešams papildināt ar attiecīgu norādi (piemēram, nepastāv apstākļi dokumenta iznīcināšanai un ir piemērojama vispārējā dokumenta glabāšanas un iznīcināšanas kārtība), aizstāt projekta 90.6.apakšpunktā  vārdu “papildina” ar vārdiem “var papildināt”.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90.8. elektronisku datu nesēju marķē ar klasificētās informācijas augstāko slepenības pakāpi, kādu paredzēts uz tā apstrādāt, elektroniskā datu nesēja reģistrācijas numuru un institūcijas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pastāv gadījumi, kad nav iespējams nodrošināt atbilstošu elektroniska datu nesēja marķēšanu, piemēram, datu nesēja izmēra vai uzbūves dēļ, vai, ja pastāv risks marķēšanas rezultātā sabojāt iekārtu. Līdz ar to projekts būtu precizējams, paredzot attiecīgus izņēmumus.  Vēršama uzmanība, ka projekta 91.punktā ir paredzēta atkāpe klasificētas informācijas marķēšanai elektroniskam dokumentam un papīra dokumentam nestandarta formā, bet tas nav attiecināms uz elektroniskajiem datu nesējiem.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Valsts drošības iestādes personu pārbaudes speciālās atļaujas saņemšanai, kas uzsāktas pirms šo noteikumu spēkā stāšanās, pabeidz, ņemot vērā iepriekš saņemtās aptaujas lapas.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regulējumu attiecībā uz personu pārbaudēm, kas uzsāktas pirms šo noteikumu spēkā stāšanās, precizēt projekta 208.punktu, paredzot, ka valsts drošības iestādes personu pārbaudes speciālās atļaujas saņemšanai, kas uzsāktas pirms šo noteikumu spēkā stāšanās, pabeidz atbilstoši regulējumam, kāds bija spēkā līdz šo noteikumu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Satversmes aizsardzības birojs izstrādā šo noteikumu 196. un 197. punktā minētās Ministru kabineta instrukcijas līdz 2025. gada 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215.punktu, paredzot, kāds regulējums ir spēkā līdz attiecīgo Ministru kabineta instrukciju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Aptaujas 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2.pielikuma 6.1.apakšpunkts paredz, ka personai aptaujas lapā nepieciešams norādīt uz tās vārda reģistrētos tālruņa numurus. Vēršama uzmanība, ka persona saziņai var izmantot tālruņa numuru, kas nav reģistrēts uz tās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vērtēt, vai attiecīgā informācija aptaujas lapā būs pietiekama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 aizpilda aptaujas lapas visas ailes, parakstoties apliecina tajā norādīto ziņu patiesumu, un piekrīt pēc valsts drošības iestādes pieprasījuma iesniegt bankas un citu kredītiestāžu vai maksājumu platformu informāciju par saviem naudas uzkrājumiem un finanšu darījumiem, kā arī citu nepieciešamo informāciju, kurai pēc valsts drošības iestādes ieskatiem var būt būtiska nozīme vērtējot personas atbilstību pieejai valsts noslēpumam normatīvajos aktos noteiktajā kārtībā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mūsdienās personas arvien biežāk izmanto virtuālo valūtu, kuras definīcija ir skaidrota Noziedzīgi iegūtu līdzekļu legalizācijas un terorisma un proliferācijas finansēšanas novēršanas likuma 1.panta 2.</w:t>
            </w:r>
            <w:r w:rsidR="00000000" w:rsidRPr="00000000" w:rsidDel="00000000">
              <w:rPr>
                <w:vertAlign w:val="superscript"/>
                <w:rtl w:val="0"/>
              </w:rPr>
              <w:t xml:space="preserve">2</w:t>
            </w:r>
            <w:r w:rsidR="00000000" w:rsidRPr="00000000" w:rsidDel="00000000">
              <w:rPr>
                <w:rtl w:val="0"/>
              </w:rPr>
              <w:t xml:space="preserve"> punktā. Ņemot vērā minēto, aicinām  papildināt projekta 9. punktu, attiecinot to arī uz ar virtuālo valūtu.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personai, kurai nav atbilstošas kategorijas speciālās atļaujas vai sertifikāta, kļuvusi zināma augstākas slepenības pakāpes klasificētā informācija, tās pienākums ir neizpaust to un informēt institūcijas atbildīgo par slepenības režīma nodrošināšanu. Par šo faktu institūcija informē kompetento valsts drošības iestādi vai, ja iesaistīta NATO, ES vai ārvalstu klasificētā informācija, Nacionālo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22.punktā lietoto terminu “institūcijas atbildīgais par slepenības režīma nodrošināšanu”, ņemot vērā projekta 2.24.apakšpunktā izveidoto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nodrošina slepenības režīmu vai norīko atbildīgo personu par slepenības režīma nodrošināšanu, par to rakstveidā informējot kompetento valsts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33.1.apakšpunktā lietoto terminu “atbildīgais par slepenības režīma nodrošināšanu”, ņemot vērā projekta 2.24.apakšpunktā izveidoto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37.10. izstrādāt un iesniegt institūcijas vadītājam apstiprināšanai konfidenciālas un augstākas slepenības pakāpes klasificētās informācijas, kā arī, ja ir, šifrēšanas iekārtu un šifrēšanas materiālu evakuācijas plānu ārkārtas situācijā vai izņēmuma stāvoklī. Plānā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37.10.apakšpunktā vārdu "ārkārtas" ar vārdu "ārkārtējās".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ne vēlāk kā mēneša laikā no dienas, kad personai attiecīgās ziņas kļuvušas zināmas, iesniegt slepenības režīma nodrošinātājam vai kompetentajai valsts drošības iestādei informāciju par izmaiņām aptaujas anketā (2. pielikums) atbilstoši šo noteikumu 16.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3.3.apakšpunktu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38.6.apakšpunktā ietvertais regulējums pēc būtības jau ir noteikts projekta 16.punktā.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Fiziskās drošības vidi, kurā var tikt apstrādāta klasificētā informācija, iedala šādās zonās: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46.punkts var radīt neviennozīmīgu izpratni par to, kura no fiziskās drošības vides zonām ir sensitīvāka vai mazāk sensitīva, jo nav norādītas secīgi.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46.punktu, sakārtojot zonas secībā no sensitīvākas uz zemāk sensitīvu.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Fiziskās drošības vidi, kurā var tikt apstrādāta klasificētā informācija, iedala šādās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1. drošības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2. drošības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administratīvā drošības 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tā ir 1. drošības 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55.1.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tā ir izvietota 1. drošības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Šo noteikumu 55. - 58. punktos minēto telpu durvis, 1. un 2. drošības zonas piekļuves durvis, kā arī jebkuru citu telpu, kurā organizē darbu ar konfidenciālu un augstākas slepenības pakāpes klasificēto informāciju, aprīko ar piekļuves kontroles sistēmu, kas nodrošina dažādu lietotāju tiesību piešķiršanas iespēju. Piekļuves kontroles sistēma šo noteikumu 55. - 58. punktos minēto telpu durvīm, 1. un 2. drošības zonas piekļuves durvīm nodrošina vismaz divu līmeņu lietotāju autentifikāciju, piemēram, karte un kods, biometrija un karte vai biometrija un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63.punktā vārdu “karte” ar vārdiem “piekļuves karte”.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Avārijas dienesta darbinieku, ugunsdzēsēju, ātrās medicīniskās palīdzības brigādi, kā arī operatīvo grupu (ja ir noticis noziegums) teritorijā un telpās, kurās veic darbu ar konfidenciālu un augstākas slepenības pakāpes klasificēto informāciju, ielaiž un ļauj tajās uzturēties apsardzes vai par slepenības režīma nodrošināšanu atbildīgā darbinieka vai amatpersonas klātbūtnē, ja tas neapdraud iesaistīto personu veselību un dzīvību.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77.punktā terminu “operatīvā grupa” atbilstoši  Kriminālprocesa likumā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90.9. iekārtas, aprīkojumu un ieročus marķē diskrēti, tikai ar slepenības pakāpi, ņemot vērā to pielietojumu;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90.9. apakšpunktu,  attiecinot to arī uz tīklu kabeļiem.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Saskaņojot ar kompetento valsts drošības iestādi un Nacionālo drošības iestādi, institūcijā valsts noslēpuma objektu, NATO, ES un ārvalstu klasificētās informācijas reģistrācijas un aprites organizāciju var organizēt viens nodrošinātājs.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103.punktā lietoto terminu "nodrošinātājs", jo tas nav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Institūcija klasificēto informāciju saņem un nosūta tikai ar sevišķās lietvedības, centrālā reģistra biroja, apakšreģistra, kontrolpunkta vai šo noteikumu 33.4. apakšpunktā noteiktā darbinieka vai struktūrvienības starpniecību. Klasificētus dokumentus var saņemt un nosūtīt papīra formā, izmantojot elektronisku datu nesēju vai akreditētu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projekta 111.punktā vārdi “papīra formā” nav aizstājami ar vārdiem “elektroniskā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Pārsūtot klasificētu informāciju saturošu dokumentu elektroniskā formā izmanto portatīvā dokumenta formātu (PDF). Šo noteikumu 91. punktā minēto atsevišķo datni pārvērš PDF un apvieno ar pārsūtāmo elektronisko dokumentu vienā datnē. Ja tālākai nodošanai elektroniskā formā paredzēto informācijas kopumu nav iespējams vai nav lietderīgi pārvērst PDF datnē, tad pirms informācijas sūtīšanas, sūtītājam un saņēmējam ir rakstveidā jāvienojas par veidu, kā šādu informāciju ir paredzēts nodot.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114.punktā šobrīd paredzēts, ka pārsūtot klasificētu informāciju saturošu dokumentu elektroniskā formā izmanto portatīvā dokumenta (PDF)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šo normu nav nepieciešams papildināt ar citu elektroniska dokumenta formātu, kas ir noteikts Ministru kabineta 2005. gada 28.jūnija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10.punktā.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Institūcijas klasificētās informācijas iznīcināšanas procedūras ārkārtas, izņēmuma vai kara stāvokļa gadījumiem, izstrādā institūcijas klasificētās informācijas evakuācijas plāna ietvaros un saskaņo ar kompetento valsts drošības iestādi vai Nacionālo drošības iestādi, ja iesaistīta NATO, ES vai ārvalstu klasificētā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176.punktā vārdu "ārkārtas" ar vārdu "ārkārtējās".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37.8. un 37.9.apakšpunktu slepenības režīma nodrošinātājam ir pienākums izstrādāt un iesniegt apstiprināšanai institūcijas vadītajam attiecīgus iekšējo normatīvo aktu projektus. Valsts pārvaldes iekārtas likuma 75.panta ceturtā daļa noteic, ka iekšējos noteikumus amatpersona pirms to izdošanas saskaņo ar augstāku amatpersonu, ja likumā nav noteikts vai augstāka iestāde (amatpersona) nav noteikusi, ka šāda saskaņošana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projekta sākotnējo ietekmes novērtējuma ziņojumu, sniedzot skaidrojumu attiecībā uz  projekta 37.8. un 37.9.apakšpunktu piemērošanu, proti, vai projekts uzskatāms par speciālo regulējumu un tādējādi attiecīgie institūciju iekšējie noteikumi nav saskaņojami ar augstāku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""Valsts noslēpuma, Ziemeļatlantijas līguma organizācijas, Eiropas Savienības un ārvalstu institūciju klasificētās informācijas aizsardzības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sākotnējās ietekmes novērtējuma ziņojuma 3.punktā "Tiesību akta projekta ietekme uz valsts budžetu un pašvaldību budžetiem" norādīto informāciju, ka pēc tiesību akta spēkā stāšanās institūcijām būs jāizvērtē iespējamā normu ietekme uz turpmāko gadu budžetu, ierosinām papildināt Ministru kabineta sēdes protokollēmuma projektu ar uzdevumu pēc noteikumu spēkā stāšanās ministrijām un institūcijām plānot indikatīvi papildu nepieciešamo finansējumu noteikumu prasību nodrošināšanai, tai skaitā attiecībā uz klasificētās informācijas fizisko drošību, vienlaikus paredzot, ka jautājumu par nepieciešamo finansējumu 2025.gadam un turpmāk skatīt likumprojekta "Par valsts budžetu 2025.gadam un budžeta ietvaru 2025., 2026. un 2027.gadam" sagatavošanas procesā kopā ar visu ministriju un citu centrālo valsts iestāžu iesniegtajiem prioritāro pasākumu pieteikumiem.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