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Kārtību, kādā energoapgādes komersanti piegādā un galalietotāji lieto aukstumenerģiju, un gadījumus, kādos energoapgādes komersants var pārtraukt energoapgādes pakalpojumu sniegšanu atsevišķiem galalietotājiem,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Kārtību, kādā nodrošina siltumenerģijas piegādes līgumā un aukstumenerģijas piegādes līgumā ietverto informāciju un rēķinu informāciju galalietotājiem un apakšlietotājiem,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3. pantā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minētais pilnvarojums paredz noteikt “kārtību, kādā nodrošina siltumenerģijas piegādes līgumā un aukstumenerģijas piegādes līgumā ietverto informāciju un rēķinu informāciju galalietotājiem un apakšlietotājiem”.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anotācijas 4. sadaļā detalizēti skaidrot likumprojekta 3. pantā ietvertā pilnvarojuma saturu, bet nepieciešamības gadījumā arī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Iestādes, izstrādājot attiecīgos tiesību aktus jaunu atbalsta shēmu no biodegvielām, bioloģiskajiem šķidrajiem kurināmajiem un biomasas kurināmajiem vai biomasas degvielām ražotās enerģijas izmantošanai nosacījumu noteikšanai, minētās atbalsta shēmas izstrādā tā, lai nestimulētu neilgtspējīgus ražošanas un izmantošanas paņēmienus un nekropļotu konkurenci ar materiālu nozarēm, lai nodrošinātu, ka meža biomasa tiek izmantota atbilstoši tās augstākajai ekonomiskajai un vidiskajai pievienotajai vērtībai, ievērojot šādu kaskadēšanas principa prioritāšu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koksnes materiālu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koksnes materiālu produktu kalpošanas laika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atkalizmantošana;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enerģijas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apglabāšana vai noglabāšana, kā arī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sestajā daļā minētās iestādes, izstrādājot minētos atbalsta shēmu nosacījumus, var tajos neievērot kaskadēšanas principa prioritāšu secību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vajadzīgs, lai nodrošinātu enerģijas piegādes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vietējā rūpniecība kvantitatīvi vai tehniski nespēj izmantot meža biomasu atbilstoši ekonomiskajai un vidiskajai pievienotajai vērtībai, kas ir lielāka nekā enerģijas ražošanai, attiecībā uz šādām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meža biomasas izejvielas, kas iegūtas tādās mežu apsaimniekošanas darbībās kā jaunaudžu kopšana vai meža ugunsgrēku seku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meža biomasas izejvielas, kas iegūtas sanitārajās cirtēs;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meža biomasas izejvielas, kuras raksturlielumu dēļ nav ekonomiski pamatotas izmantošanai un piemērotas Latvijas kokapstrādes nozares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meža biomasas izejvielas, kas iegūtas no lauksaimniecībā izmantotajām zemēm un krūmājiem.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sestajā daļā minētā iestāde attiecīgā tiesību akta par atbalsta shēmu sākotnējās ietekmes novērtējuma ziņojumā (anotācijā) izskaidro, kā un kāpēc tiek piemērotas šā panta septītajā daļā minētās atkāpes kaskadēšanas principa piemērošanas secībai, un pēc konkrētā tiesību akta spēkā stāšanos par to informē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Klimata un enerģētikas ministrija katru gadu līdz 15.martam apkopo šā panta astotajā daļā minēto informāciju un iesniedz Eiropas Komisijā kopsavilkumu par šā panta septītajā daļā minētajiem lēmumiem neievērot šā panta sestajā daļā noteikto meža biomasas izmantojuma kaskadēšanas principu, iekļaujot informāciju par šī principa neievērošanas apsvērumiem un ģeogrāfisko mērogu, uz kādu tās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Iestādes, izstrādājot atbalsta shēmas no biodegvielām, bioloģiskajiem šķidrajiem kurināmajiem un biomasas kurināmajiem vai biomasas degvielām ražotās enerģijas izmantošanai, komercdarbības atbalsta ietvaros nepieņem lēmumu par tieša finansiāla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zāģbaļķu, finierkluču, celmu un sakņu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rūpniecisko apaļo kokmateriālu, kas atbilst visu sugu zāģbaļķu, finierkluču, stabu, mietu, būvbaļķu un taras kluču kvalitātes kritērijiem, kas ir noteikti apaļo kokmateriālu kvalitātes standartā,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atkritumu reģenerācijai, ja vien nav izpildīti normatīvajos aktos par atkritumu apsaimniekošanu noteiktie dalītās savākšanas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Jaunas atbalsta shēmas nevar tikt izstrādātas vai esošās atbalsta shēmas nevar atjaunot elektroenerģijas ražošanai no meža biomasas iekārtās, kurās ražo tikai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vienpadsmitā daļa netiek attiecināta uz elektroenerģijas ražošanu no meža biomasas, ja tā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tiek ražota reģionā, kas ir iekļauts Latvijas vai citas Eiropas Savienības dalībvalsts teritoriālajā taisnīgas pārkārtošanās plānā, kurš sagatavots saskaņā ar Eiropas Parlamenta un Padomes 2021.gada 24.jūlija regulas (ES) 2021/1056, ar ko izveido Taisnīgas pārkārtošanās fondu 11. pantu, un saražotā elektroenerģija atbilst šā likuma 58.</w:t>
            </w:r>
            <w:r w:rsidR="00000000" w:rsidRPr="00000000" w:rsidDel="00000000">
              <w:rPr>
                <w:vertAlign w:val="superscript"/>
                <w:rtl w:val="0"/>
              </w:rPr>
              <w:t xml:space="preserve">9</w:t>
            </w:r>
            <w:r w:rsidR="00000000" w:rsidRPr="00000000" w:rsidDel="00000000">
              <w:rPr>
                <w:rtl w:val="0"/>
              </w:rPr>
              <w:t xml:space="preserve"> panta pirmās daļas 4.punktā minētajiem elektroenerģijai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tiek ražota iekārtās, kurās ir uzstādītas biomasas oglekļa emisiju uztveršanas iekārtas un tiek nodrošināta uztvertā oglekļa emisiju atkalizmantošana vai uzglabāšana vai noglabāšana un saražotā elektroenerģija atbilst šā likuma 58.</w:t>
            </w:r>
            <w:r w:rsidR="00000000" w:rsidRPr="00000000" w:rsidDel="00000000">
              <w:rPr>
                <w:vertAlign w:val="superscript"/>
                <w:rtl w:val="0"/>
              </w:rPr>
              <w:t xml:space="preserve">9</w:t>
            </w:r>
            <w:r w:rsidR="00000000" w:rsidRPr="00000000" w:rsidDel="00000000">
              <w:rPr>
                <w:rtl w:val="0"/>
              </w:rPr>
              <w:t xml:space="preserve"> panta pirmās daļas 4.punktā minētajiem elektroenerģijai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Iestādes, izstrādājot attiecīgos tiesību aktus jaunu atbalsta programmu noteikšanai, minēto atbalsta programmu nosacījumos neiekļauj finansiālo atbalstu individuālo siltumapgādes sistēmu (apkures katlu), kurā tiek izmantots tikai fosilās izcelsmes kurināmais, iegādei un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 punktā minēto, ja likumprojekta 9. pantā tiek izdarīta netieša atsauce uz standartiem, tad lūdzam tiesiskās noteiktības nolūkā pārformulēt minēto atsauci un papildināt atbilstoši direktīvā noteiktajam, piemēram, paredzot izņēmumu attiecībā uz apaļkokiem, kuru īpatnības tos dara nederīgus rūpnieciskai izmantošanai, tostarp (respektīvi, kā piemēru norādot uz) apaļkokiem, kuri neatbilst visu sugu zāģbaļķu, finierkluču, stabu, mietu, būvbaļķu un taras kluču kvalitātes kritērijiem, kas ir noteikti piemērojamos apaļo kokmateriālu kvalitātes standartos. Norādām, ka pretējā gadījumā likuma prasību izpildei standartu piemērošana ir obligāta, jo atbalsta shēmas nosacījumos nevar paredzēt atbalstu rūpniecisko apaļo kokmateriālu, </w:t>
            </w:r>
            <w:r w:rsidR="00000000" w:rsidRPr="00000000" w:rsidDel="00000000">
              <w:rPr>
                <w:u w:val="single"/>
                <w:rtl w:val="0"/>
              </w:rPr>
              <w:t xml:space="preserve">kas atbilst</w:t>
            </w:r>
            <w:r w:rsidR="00000000" w:rsidRPr="00000000" w:rsidDel="00000000">
              <w:rPr>
                <w:rtl w:val="0"/>
              </w:rPr>
              <w:t xml:space="preserve"> standartos noteiktajiem kvalitātes kritērijiem, izmantošanai enerģijas ražošanai, līdz ar to pretēji izziņā minētajam minētajos nosacījumos pirmšķietami nevar tikt ietverti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Iestādes, izstrādājot atbalsta shēmas no biodegvielām, bioloģiskajiem šķidrajiem kurināmajiem un biomasas kurināmajiem vai biomasas degvielām ražotās enerģijas izmantošanai, komercdarbības atbalsta ietvaros nepieņem lēmumu par tieša finansiāla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zāģbaļķu, finierkluču, celmu un sakņu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rūpniecisko apaļo kokmateriālu, izņemot apaļkokus, kuru īpatnības, piemēram, suga, izmēri, taisnums un zarainums, tos dara nederīgus rūpnieciskai izmantošanai, tostarp, kuri neatbilst visu sugu zāģbaļķu, finierkluču, stabu, mietu, būvbaļķu un taras kluču kvalitātes kritērijiem, kas ir noteikti piemērojamos apaļo kokmateriālu kvalitātes standartos,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atkritumu reģenerācijai, ja vien nav izpildīti normatīvajos aktos par atkritumu apsaimniekošanu noteiktie dalītās savākšanas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18. punktā ietverto iebildumu atkārtoti lūdzam izvērtēt un likumprojektu papildināt ar regulējumu attiecībā uz procedūru vienkāršošanu, kā arī likumprojekta anotācijā skaidrot, vai maksas noteikšana atbilstoši Enerģētikas likumam ir pieļaujama, un attiecīgā gadījumā papildināt likumprojektu ar direktīvai atbilstošu regulējumu par atlaides noteikšanu gadījumā, ja maksu piemēro. Norādām, ka tas vien, ka praksē maksa netiek piemērota vai process šobrīd jau ir praksē pietiekami atvieglots, neizslēdz attiecīgo dzīves gadījumu parādīšanos, kas atbilstoši direktīvai prasa noregulējumu. Skaidrojam, ka Eiropas Savienības Tiesa ir atzinusi, ka tiesiskās drošības princips un nepieciešamība nodrošināt pilnīgu direktīvu piemērošanu juridiski, nevis tikai faktiski, prasa, lai visas dalībvalstis pārņemtu attiecīgās direktīvas prasības ar skaidru, precīzu un pārskatāmu tiesisko regulējumu, paredzot saistošas normas jomā, uz kuru tā attiecas. Dalībvalstīm ir šāds pienākums, lai novērstu jebkādas konkrētā brīdī esošās situācijas izmaiņas tajās un nodrošinātu, ka ikviens tiesību subjekts Kopienā (Eiropas Savienībā), ietverot dalībvalstis, kurās noteikta direktīvā minēta darbība nepastāv, jebkuros apstākļos skaidri un precīzi zinātu savas tiesības un pienākumus (sk. </w:t>
            </w:r>
            <w:r w:rsidR="00000000" w:rsidRPr="00000000" w:rsidDel="00000000">
              <w:rPr>
                <w:i w:val="1"/>
                <w:rtl w:val="0"/>
              </w:rPr>
              <w:t xml:space="preserve">Eiropas Savienības Tiesas 2010. gada 14. janvāra spriedumu lietā C 343/08 Komisija/Čehija 40. un 41.</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Iestādes, izstrādājot attiecīgos tiesību aktus jaunu atbalsta shēmu no biodegvielām, bioloģiskajiem šķidrajiem kurināmajiem un biomasas kurināmajiem vai biomasas degvielām ražotās enerģijas izmantošanai nosacījumu noteikšanai, minētās atbalsta shēmas izstrādā tā, lai nestimulētu neilgtspējīgus ražošanas un izmantošanas paņēmienus un nekropļotu konkurenci ar materiālu nozarēm, lai nodrošinātu, ka meža biomasa tiek izmantota atbilstoši tās augstākajai ekonomiskajai un vidiskajai pievienotajai vērtībai, ievērojot šādu kaskadēšanas principa prioritāšu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koksnes materiālu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koksnes materiālu produktu kalpošanas laika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atkalizmantošana;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enerģijas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apglabāšana vai noglabāšana, kā arī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sestajā daļā minētās iestādes, izstrādājot minētos atbalsta shēmu nosacījumus, var tajos neievērot kaskadēšanas principa prioritāšu secību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vajadzīgs, lai nodrošinātu enerģijas piegādes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vietējā rūpniecība kvantitatīvi vai tehniski nespēj izmantot meža biomasu atbilstoši ekonomiskajai un vidiskajai pievienotajai vērtībai, kas ir lielāka nekā enerģijas ražošanai, attiecībā uz šādām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meža biomasas izejvielas, kas iegūtas tādās mežu apsaimniekošanas darbībās kā jaunaudžu kopšana vai meža ugunsgrēku seku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meža biomasas izejvielas, kas iegūtas sanitārajās cirtēs;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meža biomasas izejvielas, kuras raksturlielumu dēļ nav ekonomiski pamatotas izmantošanai un piemērotas Latvijas kokapstrādes nozares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meža biomasas izejvielas, kas iegūtas no lauksaimniecībā izmantotajām zemēm un krūmājiem.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sestajā daļā minētā iestāde attiecīgā tiesību akta par atbalsta shēmu sākotnējās ietekmes novērtējuma ziņojumā (anotācijā) izskaidro, kā un kāpēc tiek piemērotas šā panta septītajā daļā minētās atkāpes kaskadēšanas principa piemērošanas secībai, un pēc konkrētā tiesību akta spēkā stāšanos par to informē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Klimata un enerģētikas ministrija katru gadu līdz 15.martam apkopo šā panta astotajā daļā minēto informāciju un iesniedz Eiropas Komisijā kopsavilkumu par šā panta septītajā daļā minētajiem lēmumiem neievērot šā panta sestajā daļā noteikto meža biomasas izmantojuma kaskadēšanas principu, iekļaujot informāciju par šī principa neievērošanas apsvērumiem un ģeogrāfisko mērogu, uz kādu tās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Iestādes, izstrādājot atbalsta shēmas no biodegvielām, bioloģiskajiem šķidrajiem kurināmajiem un biomasas kurināmajiem vai biomasas degvielām ražotās enerģijas izmantošanai, komercdarbības atbalsta ietvaros nepieņem lēmumu par tieša finansiāla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zāģbaļķu, finierkluču, celmu un sakņu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rūpniecisko apaļo kokmateriālu, kas atbilst visu sugu zāģbaļķu, finierkluču, stabu, mietu, būvbaļķu un taras kluču kvalitātes kritērijiem, kas ir noteikti apaļo kokmateriālu kvalitātes standartā, izmantošanai 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atkritumu reģenerācijai, ja vien nav izpildīti normatīvajos aktos par atkritumu apsaimniekošanu noteiktie dalītās savākšanas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Jaunas atbalsta shēmas nevar tikt izstrādātas vai esošās atbalsta shēmas nevar atjaunot elektroenerģijas ražošanai no meža biomasas iekārtās, kurās ražo tikai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vienpadsmitā daļa netiek attiecināta uz elektroenerģijas ražošanu no meža biomasas, ja tā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tiek ražota reģionā, kas ir iekļauts Latvijas vai citas Eiropas Savienības dalībvalsts teritoriālajā taisnīgas pārkārtošanās plānā, kurš sagatavots saskaņā ar Eiropas Parlamenta un Padomes 2021.gada 24.jūlija regulas (ES) 2021/1056, ar ko izveido Taisnīgas pārkārtošanās fondu 11. pantu, un saražotā elektroenerģija atbilst šā likuma 58.</w:t>
            </w:r>
            <w:r w:rsidR="00000000" w:rsidRPr="00000000" w:rsidDel="00000000">
              <w:rPr>
                <w:vertAlign w:val="superscript"/>
                <w:rtl w:val="0"/>
              </w:rPr>
              <w:t xml:space="preserve">9</w:t>
            </w:r>
            <w:r w:rsidR="00000000" w:rsidRPr="00000000" w:rsidDel="00000000">
              <w:rPr>
                <w:rtl w:val="0"/>
              </w:rPr>
              <w:t xml:space="preserve"> panta pirmās daļas 4.punktā minētajiem elektroenerģijai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tiek ražota iekārtās, kurās ir uzstādītas biomasas oglekļa emisiju uztveršanas iekārtas un tiek nodrošināta uztvertā oglekļa emisiju atkalizmantošana vai uzglabāšana vai noglabāšana un saražotā elektroenerģija atbilst šā likuma 58.</w:t>
            </w:r>
            <w:r w:rsidR="00000000" w:rsidRPr="00000000" w:rsidDel="00000000">
              <w:rPr>
                <w:vertAlign w:val="superscript"/>
                <w:rtl w:val="0"/>
              </w:rPr>
              <w:t xml:space="preserve">9</w:t>
            </w:r>
            <w:r w:rsidR="00000000" w:rsidRPr="00000000" w:rsidDel="00000000">
              <w:rPr>
                <w:rtl w:val="0"/>
              </w:rPr>
              <w:t xml:space="preserve"> panta pirmās daļas 4.punktā minētajiem elektroenerģijai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Iestādes, izstrādājot attiecīgos tiesību aktus jaunu atbalsta programmu noteikšanai, minēto atbalsta programmu nosacījumos neiekļauj finansiālo atbalstu individuālo siltumapgādes sistēmu (apkures katlu), kurā tiek izmantots tikai fosilās izcelsmes kurināmais, iegādei un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9. pantā pieturzīmi iekavas ("(apkures katlu)")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"104. Šā likuma 58.</w:t>
            </w:r>
            <w:r w:rsidR="00000000" w:rsidRPr="00000000" w:rsidDel="00000000">
              <w:rPr>
                <w:vertAlign w:val="superscript"/>
                <w:rtl w:val="0"/>
              </w:rPr>
              <w:t xml:space="preserve">11</w:t>
            </w:r>
            <w:r w:rsidR="00000000" w:rsidRPr="00000000" w:rsidDel="00000000">
              <w:rPr>
                <w:rtl w:val="0"/>
              </w:rPr>
              <w:t xml:space="preserve"> panta divpadsmitā daļa ir piemērojama tām atbalsta programmām, kas ir apstiprinātas pēc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atsaucoties uz 58.</w:t>
            </w:r>
            <w:r w:rsidR="00000000" w:rsidRPr="00000000" w:rsidDel="00000000">
              <w:rPr>
                <w:vertAlign w:val="superscript"/>
                <w:rtl w:val="0"/>
              </w:rPr>
              <w:t xml:space="preserve">11</w:t>
            </w:r>
            <w:r w:rsidR="00000000" w:rsidRPr="00000000" w:rsidDel="00000000">
              <w:rPr>
                <w:rtl w:val="0"/>
              </w:rPr>
              <w:t xml:space="preserve"> panta 13., nevis 12.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23. punktā minēto lūdzam likumprojekta anotācijas 5.4. apakšsadaļas 1. tabulā norādīt konkrētu datumu attiecīgā tiesību akta (grozījumu Elektroenerģijas tirgus likumā) iesniegšanai Ministru kabinetā, kā arī lūdzam precizēt informāciju par Eiropas Parlamenta un Padomes 2023. gada 18. oktobra direktīvas (ES) 2023/2413, ar ko attiecībā uz atjaunīgo energoresursu enerģijas izmantošanas veicināšanu groza direktīvu (ES) 2018/2001, regulu (ES) 2018/1999 un direktīvu 98/70/EK un atceļ Padomes direktīvu (ES) 2015/652,1.panta "9" punkta "b" apakšpunktā izteiktā direktīvas Nr. 2018/2001, 19. panta 4. punkta pārņemšanu, jo izziņā norādīts, ka minētā norma tiks pārņemta, izstrādājot grozījumus Elektroenerģijas tirgus likumā, savukārt no 5.4. apakšsadaļas 1. tabulas izriet, ka minētā norma jau ir pilnībā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28.12.2024.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28.12.2024.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