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1999, 9. nr.; 2002, 1. nr.; 2003, 11. nr.; 2004, 11. nr.; 2005, 24. nr.; 2007, 9., 12. nr.; 2008, 15. nr.; 2009, 13. nr.; Latvijas Vēstnesis, 2009, 194. nr.; 2010, 183., 206. nr.; 2011, 96. nr.; 2013, 193. nr.; 2014, 92., 189. nr.; 2015, 42., 118., 127. nr.; 2016, 123. nr.; 2018, 204. nr.; 2019, 248.A nr.; 2021, 79.A, 104. nr.; 2022, 43. nr.; 2023, 123., 190.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jau iepriekš ir paudusi, ka nepieciešams pārskatīt regulējumu, atceļot aizliegumu par kreditēšanas pakalpojumu reklāmu par līgumiem, kurus noslēdzis ražotājs, pārdevējs vai pakalpojuma sniedzējs par preču vai pakalpojumu iegādi atlikta maksājuma, aizdevuma vai citas tamlīdzīgas finansiālas vienošanās veidā. LTRK ir sagatavojusi priekšlikumus, ar ko 1) tiek atcelts aizliegums par kreditēšanas pakalpojumu reklāmu par līgumiem, kurus noslēdzis ražotājs, pārdevējs vai pakalpojuma sniedzējs par preču vai pakalpojumu iegādi atlikta maksājuma, aizdevuma vai citas tamlīdzīgas finansiālas vienošanās veidā; 2) likumā tiek ietvertas normas, kas atrodamas 2023. gada 18. oktobra  Eiropas Parlamenta un Padomes Direktīvā (ES) 2023/2225  par patērētāju kredītlīgumiem un ar ko atceļ Direktīvu 2008/48/EK 34. pantā par patērētāju izglītošanu finanšu jomā[1].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34. pants ir vērsts uz patērētāju izglītošanu finanšu jomā un paredz dalībvalstīm pienākumu veicināt pasākumus, kas atbalsta patērētāju izglītošanu jautājumos par atbildīgu aizņemšanos un parādu pārvaldīšanu, jo īpaši saistībā ar patēriņa kredītlīgumiem. LTRK ieskatā atsevišķas izmaiņas nacionālajā regulējumā var izdarīt jau šobrīd. Tas veicinātu godīgu konkurenci, ļautu saņemt informāciju par pieejamiem piedāvājumiem, tādējādi nodrošinot iespēju uzzināt par precēm un pakalpojumiem, kas var uzlabot dzīves kvalitāti, taupīt resursus (energoefektīvākas preces, digitālie risinājumi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izsaka sekojošus priekšlikumus grozījumiem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https://eur-lex.europa.eu/legal-content/lv/TXT/?uri=CELEX%3A32023L2225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panta sešpadsmito daļu ar vārdiem: “kā arī nodrošinot skaidru un vispārīgu informāciju par kredītu piešķiršanas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likuma 8.</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8.</w:t>
            </w:r>
            <w:r w:rsidR="00000000" w:rsidRPr="00000000" w:rsidDel="00000000">
              <w:rPr>
                <w:vertAlign w:val="superscript"/>
                <w:rtl w:val="0"/>
              </w:rPr>
              <w:t xml:space="preserve">3 </w:t>
            </w:r>
            <w:r w:rsidR="00000000" w:rsidRPr="00000000" w:rsidDel="00000000">
              <w:rPr>
                <w:rtl w:val="0"/>
              </w:rPr>
              <w:t xml:space="preserve">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 daļa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Augstskolu likumā noteikto studiju kredītu un studējošo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kredīta devēja un kredīta starpnieka preču zīmes reklāmu. Kredīta devēja un kredīta starpnieka preču zīmes (tai skaitā sponsorēšanas) reklāma ir aizliegta sabiedriskā pasūtījuma ietvaros radio vai televīzijā īstenotos projektos, kas finansēti no valsts vai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patērētāja kreditēšanas līgumu, kurus noslēdzis ražotājs, pārdevējs vai pakalpojuma sniedzējs par preču vai pakalpojumu iegādi atlikta maksājuma, aizdevuma vai citas tamlīdzīgas finansiālas vienošanās veidā un saskaņā ar kuriem kredīts tiek piešķirts, nemaksājot procentu likmi un citus papildu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25. panta ceturto daļu ar 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informācijas par atbalstu, ko iestādes un patērētāju tiesību aizsardzības nevalstiskās organizācijas sniedz patērētājiem, apkopošana un izplatīšana;”.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Patērētāju tiesību aizsardzības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sadarbības partneru paustās pozīcijas, kā arī diskusijas, kas norisinājušās Saeimā pie cita šī likuma atvēruma, LTRK ieskatā nepieciešams papildināt sēdes protokollēmumu ar jaunu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līdz 2023. gada 31. decembrim noturot pirmo darba grupas sēdi un iesaistot tajā sadarbības partnerus, sākt darbu pie tiesību normu, kas regulē patērētāju kreditēšanas reklāmas ierobežojumus, pārskatīšanas.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04.12.2023.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04.12.2023.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Atzinumi_23-TA-2548.docx</dc:title>
</cp:coreProperties>
</file>

<file path=docProps/custom.xml><?xml version="1.0" encoding="utf-8"?>
<Properties xmlns="http://schemas.openxmlformats.org/officeDocument/2006/custom-properties" xmlns:vt="http://schemas.openxmlformats.org/officeDocument/2006/docPropsVTypes"/>
</file>