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24-TA-1240: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“Pasaciņas”, Rucavas pagastā, Dienvidkurzemes novadā, nodošanu Dienvidkurzemes novada pašvaldībai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1.2. Mērķis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anotācijas 1.2. sadaļas "Mērķis" norādīto, jo saskaņā ar anotācijā un Rīkojuma projektam pievienotajos dokumentos minēto, īpašumu plānots izmantot atbilstoši Pašvaldību likuma 4. panta pirmās daļas 2. </w:t>
            </w:r>
            <w:r w:rsidR="00000000" w:rsidRPr="00000000" w:rsidDel="00000000">
              <w:rPr>
                <w:b w:val="1"/>
                <w:rtl w:val="0"/>
              </w:rPr>
              <w:t xml:space="preserve">un 20. punktā </w:t>
            </w:r>
            <w:r w:rsidR="00000000" w:rsidRPr="00000000" w:rsidDel="00000000">
              <w:rPr>
                <w:rtl w:val="0"/>
              </w:rPr>
              <w:t xml:space="preserve">noteiktajam.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Jānis Šļahota (TM)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labot informāciju anotācijā, jo nekustamajam īpašumam NĪVKIS datos reģistrēts šāds apgrūtinājums: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aizsargjoslas teritorija gar elektrisko tīklu gaisvadu līniju ārpus pilsētām un ciemiem, kā arī pilsētu lauku teritorijās–  </w:t>
            </w:r>
            <w:r w:rsidR="00000000" w:rsidRPr="00000000" w:rsidDel="00000000">
              <w:rPr>
                <w:b w:val="1"/>
                <w:rtl w:val="0"/>
              </w:rPr>
              <w:t xml:space="preserve">0.1800 ha, nevis 1,1800 ha platībā.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Jānis Šļahota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24-TA-1240</w:t>
    </w:r>
    <w:r>
      <w:br/>
    </w:r>
    <w:r w:rsidR="00000000" w:rsidRPr="00000000" w:rsidDel="00000000">
      <w:rPr>
        <w:rtl w:val="0"/>
      </w:rPr>
      <w:t xml:space="preserve">Izdrukāts 31.05.2024. 10.42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24-TA-1240</w:t>
    </w:r>
    <w:r>
      <w:br/>
    </w:r>
    <w:r w:rsidR="00000000" w:rsidRPr="00000000" w:rsidDel="00000000">
      <w:rPr>
        <w:rtl w:val="0"/>
      </w:rPr>
      <w:t xml:space="preserve">Izdrukāts 31.05.2024. 10.42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