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ostu pārvalde nosaka ostas maksas, to atvieglojumus un atbrīvojumus, ostas pakalpojumu tarifu robežlīmeņus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Administratīvo aktu par attiecināmās ostas pārvaldes pieņemtajām ostas maksām un ostu pakalpojumu tarifu robežlīmeņiem var apstrīdēt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17. punktā norādīt, ka administratīvais akts apstrīdams Satiksmes ministrijā, jo privātpersonai no normatīvā regulējuma jābūt skaidram, kurā iestādē var apstrīdēt administratīvo aktu. Vienlaikus lūdzam norādīt, ka Satiksmes ministrijas lēmumu var pārsūdzēt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10.02.2023.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10.02.2023.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Atzinumi_22-TA-3051.docx</dc:title>
</cp:coreProperties>
</file>

<file path=docProps/custom.xml><?xml version="1.0" encoding="utf-8"?>
<Properties xmlns="http://schemas.openxmlformats.org/officeDocument/2006/custom-properties" xmlns:vt="http://schemas.openxmlformats.org/officeDocument/2006/docPropsVTypes"/>
</file>