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22-TA-3183: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kiberdrošības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Nacionālās kiberdrošības likuma 9. panta ceturto daļu, 12. panta trešo daļu, 24. panta otro daļu, 25. panta pirmo daļu, 26. pantu, 28. panta otro daļu, 29. pantu, 33. pantu, 34. panta pirmo, septīto un desmito daļu, 36. panta pirmo daļu, 42. panta trešo daļu, 43. panta otro daļu un 44. panta otro daļu, Nacionālās drošības likuma 22.</w:t>
            </w:r>
            <w:r w:rsidR="00000000" w:rsidRPr="00000000" w:rsidDel="00000000">
              <w:rPr>
                <w:vertAlign w:val="superscript"/>
                <w:rtl w:val="0"/>
              </w:rPr>
              <w:t xml:space="preserve">2</w:t>
            </w:r>
            <w:r w:rsidR="00000000" w:rsidRPr="00000000" w:rsidDel="00000000">
              <w:rPr>
                <w:rtl w:val="0"/>
              </w:rPr>
              <w:t xml:space="preserve"> panta sesto daļu, Elektronisko sakaru likuma 8. panta pirmo un otro daļu un Valsts informācijas sistēmu likuma 16. pantu.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noteikumu projektu vairs nav paredzēts izpildīt Nacionālās kiberdrošības likuma 29. pantā ietverto pilnvarojumu, lūdzam svītrot atsauci uz minēto pantu norādē uz noteikumu projekta izdošanas tiesisko pamatu. Attiecīgā gadījumā lūdzam arī noteikumu projekta anotācijā skaidrot, kā paredzēts izpildīt minēto pilnvarojumu.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 Iegādājoties ārpakalpojumu, subjekts paredz:</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starpinstitūciju sanāksmē (turpmāk - sanāksme) izteikto iebildumu attiecībā uz noteikumu projekta 87.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iepriekš paudusi iebildumus attiecībā uz deleģējuma robežām, nosakot civiltiesiskā kārtā slēgtu līgumu prasības, proti, ka atbilstoši noteikumu projekta deleģējumam likumdevējs nav paredzējis speciālu pilnvarojumu regulēt līgumā nosakāmās prasības (kas cita starpā ierobežotu līguma slēgšanas brīvību un līguma satura izvēles brīvību).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Precizētajā noteikumu projekta redakcijā ir svītrotas prasības attiecībā uz līgumos iekļaujamām prasībām, būtībā ievērojot deleģējuma robežas, taču šī brīža redakcijā noteikumu projekta 87. punktā ietvertā norma ir deklaratīva, proti, ar šādu 87. punkta redakciju nav skaidrs, kur subjekts paredzēs 87. apakšpunktā uzskaitītās prasības (vienlaikus ievērojot deleģējuma robežas un neiejaucoties privāttiesisko attiecību tvērumā), attiecīgi subjektiem nebūs saprotams, kur minētās prasības iekļaut un kādas ir sekas, ja tās netiek (kaut kur) iekļautas.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šī brīža redakcijā noteikumu projekta 87. punkts ir deklaratīvs (normai nav juridiskās slodzes) un minētā norma nav skaidra. Vēršam uzmanību, ka Satversmes 90. pantā citstarp ietverti tiesību normu kvalitātes kritēriji, atbilstoši kuriem ikvienai tiesību normai jābūt pieejamai, kā arī </w:t>
            </w:r>
            <w:r w:rsidR="00000000" w:rsidRPr="00000000" w:rsidDel="00000000">
              <w:rPr>
                <w:u w:val="single"/>
                <w:rtl w:val="0"/>
              </w:rPr>
              <w:t xml:space="preserve">pietiekami skaidrai un paredzamai</w:t>
            </w:r>
            <w:r w:rsidR="00000000" w:rsidRPr="00000000" w:rsidDel="00000000">
              <w:rPr>
                <w:rtl w:val="0"/>
              </w:rPr>
              <w:t xml:space="preserve"> (</w:t>
            </w:r>
            <w:r w:rsidR="00000000" w:rsidRPr="00000000" w:rsidDel="00000000">
              <w:rPr>
                <w:i w:val="1"/>
                <w:rtl w:val="0"/>
              </w:rPr>
              <w:t xml:space="preserve">sk. arī Satversmes tiesas 2019.gada 21.februāra sprieduma lietā Nr.2018-10-0103 13.1.punktu</w:t>
            </w:r>
            <w:r w:rsidR="00000000" w:rsidRPr="00000000" w:rsidDel="00000000">
              <w:rPr>
                <w:rtl w:val="0"/>
              </w:rPr>
              <w:t xml:space="preserve">). Tāpat norādām, ka atbilstoši Ministru kabineta 2009. gada 3. februāra noteikumu Nr. 108 “Normatīvo aktu projektu sagatavošanas noteikumi” (turpmāk - noteikumi Nr. 108) 3.1. apakšpunktam: “Normatīvā akta projektā neietver normas, kas ir deklaratīvas”.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Īpašās ārpakalpojumu prasības IKT kritiskajai infrastruktūrai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anotāciju ar skaidru norādi uz attiecīgā likuma deleģējošo normu, no kuras skaidri izriet Ministru kabineta tiesības noteikt visas prasības uz ārpakalpojumiem, kādas ir ietvertas noteikumu projektā. Paužam bažas, ka, piemēram, 94. un 97. punkts varētu skart personas pamattiesības, kā rezultātā personas varētu vērsties Satversmes tiesā par šiem ierobežojumiem. Līdz ar to, Tieslietu ministrijas ieskatā, ir jābūt nepārprotami skaidram, ka Ministru kabinetam ir tiesības noteikt šādas prasības un tas atbilst likumdevēja gribai.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Agnese Sermā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IKT kritiskās infrastruktūras informācijas sistēmas tehnisko resursu iegādi atļauts slēgt, ja ārpakalpojuma sniedzējs un tehniskā resursa ražotājs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vairākkārt ir izteikusi iebildumus par normām, ar kurām noteikumu projektā nepamatoti tiek ierobežotas pamattiesības attiecībā uz tehniskā resursa ražotāja un programmatūras izcelsmes valsti (pilsonību).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ar noteikumu projekta 94. punktu tiek radītas nepamatotas un diskriminējošas prasības attiecībā uz ārpakalpojuma sniedzēja nodrošināto, piegādāto, uzstādīto programmatūru vai iekārtu izcelsmes valsti (pilsonību). Saskatām tiesisko pamatojumu, samērīgumu un nepieciešamību noteikumu projektā un tā anotācijā ierobežojumos attiecībā uz valstīm, ko Latvijas Republika un arī Eiropas Savienība atzinusi par terorisma atbalstošām valstīm, taču, izslēdzot citas valstis, nepieciešams konkrēts tiesiskais pamatojums, lai novērstu nepamatotu diskrimināciju pēc izcelsmes valsts (pilsonības valsts), ko lūdzam sniegt vai precizēt minēto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 IKT kritiskās infrastruktūras īpašniekam vai tiesiskajam valdītājam ārpakalpojuma līgumu par IKT kritiskās infrastruktūras informācijas sistēmas tehnisko resursu iegādi atļauts slēgt, ja ārpakalpojuma sniedzējs un tehniskā resursa ražotājs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sanāksmē izteikto iebildumu attiecībā uz noteikumu projekta 94.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vairākkārt šajā sanāksmē vērsa uzmanību, ka noteikumu projekts šādā redakcijā pārkāpj deleģējuma robežas attiecībā uz ārpakalpojumā nosakāmajām prasībām, kas ietvertas arī noteikumu projekta 94. punktā, proti, šobrīd deleģējums atļauj regulēt “ārpakalpojumu prasības” tiktāl, ciktāl tas attiecas uz Elektronisko sakaru likuma subjektiem (Elektronisko sakaru likuma tvērumā), attiecīgi noteikumu projekts ir precizējams, vienlaikus precizējot 94.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94. punkts šādā redakcijā pārkāpj deleģējuma robežas attiecībā uz “tehniskā resursa ražotāju”, jo likumdevējs nav izdevis speciālu pilnvarojumu noteikt pamattiesību ierobežojošas prasības attiecībā uz tehniskā resursa ražotāju.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Satversmes tiesa ir skaidri norādījusi, ka tiesību normai, ar kuru likumdevējs pilnvaro Ministru kabinetu noregulēt Satversmē noteikto personas pamattiesību īstenošanas kārtību vai ierobežojumus šo tiesību īstenošanai, ir jābūt skaidrai un precīzai, </w:t>
            </w:r>
            <w:r w:rsidR="00000000" w:rsidRPr="00000000" w:rsidDel="00000000">
              <w:rPr>
                <w:u w:val="single"/>
                <w:rtl w:val="0"/>
              </w:rPr>
              <w:t xml:space="preserve">un nav pieļaujama personas pamattiesību ierobežošana, atsaucoties uz neesošu, nesaprotamu vai pārprotamu likumdevēja pilnvarojumu</w:t>
            </w:r>
            <w:r w:rsidR="00000000" w:rsidRPr="00000000" w:rsidDel="00000000">
              <w:rPr>
                <w:rtl w:val="0"/>
              </w:rPr>
              <w:t xml:space="preserve"> (</w:t>
            </w:r>
            <w:r w:rsidR="00000000" w:rsidRPr="00000000" w:rsidDel="00000000">
              <w:rPr>
                <w:i w:val="1"/>
                <w:rtl w:val="0"/>
              </w:rPr>
              <w:t xml:space="preserve">sk. piemēram, Satversmes tiesas 2005. gada 21. novembra sprieduma lietā Nr. 2005-03-0306 10. punktu</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94. punktā vārdus "tehniskā resursa ražotājs", vienlaikus ievērojot arī deleģējuma robežas attiecībā uz ārpakalpojuma sniedzējiem nosakāmajām prasībām.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Satversmes aizsardzības birojs pēc savas iniciatīvas sniedz atzinumu par IKT kritiskās infrastruktūras īpašnieka vai tiesiskā valdītāja nodarbinātajiem vai izvēlētajiem amata pretendentiem, un komersanta, kurš sniedz pakalpojumu IKT kritiskajā infrastruktūrā vai Eiropas mērogā īpaši nozīmīgā kritiskajā infrastruktūrā vai kuram ir piekļuve IKT kritiskās infrastruktūras vai Eiropas mērogā īpaši nozīmīgas kritiskās infrastruktūras funkcionēšanai nozīmīgai informācijai vai tehnoloģiskajām iekārtām, īpašnieku, valdes locekļu, darbinieku un darbu veikšanai vai pakalpojumu sniegšanai izvēlēto komersantu atbilstību pakalpojuma sniegšanai IKT kritiskajā infrastruktūrā vai Eiropas mērogā īpaši nozīmīgā kritiskajā infrastruktūrā vai piekļuvei tai. Ja ir saņemts negatīvs Satversmes aizsardzības biroja atzinums, IKT kritiskās infrastruktūras, tajā skaitā Eiropas mērogā īpaši nozīmīgas kritiskās infrastruktūras, īpašnieks vai tiesiskais valdītājs liedz komersantam vai personai piekļuvi A, B un C IKT kritiskajai infrastruktūrai vai Eiropas mērogā īpaši nozīmīgai kritiskajai infrastruktūrai un tās funkcionēšanai nozīmīgai informācijai vai tehnoloģiskajām iekārtām.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vai precizēt noteikumu projekta 109. punktu, kas dublē likumprojekta "Grozījumi Nacionālās drošības likumā" (TAP Nr. 23-TA-2976) 2. pantā ietvertā attiecīgā likuma 22.</w:t>
            </w:r>
            <w:r w:rsidR="00000000" w:rsidRPr="00000000" w:rsidDel="00000000">
              <w:rPr>
                <w:vertAlign w:val="superscript"/>
                <w:rtl w:val="0"/>
              </w:rPr>
              <w:t xml:space="preserve">2</w:t>
            </w:r>
            <w:r w:rsidR="00000000" w:rsidRPr="00000000" w:rsidDel="00000000">
              <w:rPr>
                <w:rtl w:val="0"/>
              </w:rPr>
              <w:t xml:space="preserve"> panta 3</w:t>
            </w:r>
            <w:r w:rsidR="00000000" w:rsidRPr="00000000" w:rsidDel="00000000">
              <w:rPr>
                <w:vertAlign w:val="superscript"/>
                <w:rtl w:val="0"/>
              </w:rPr>
              <w:t xml:space="preserve">3</w:t>
            </w:r>
            <w:r w:rsidR="00000000" w:rsidRPr="00000000" w:rsidDel="00000000">
              <w:rPr>
                <w:rtl w:val="0"/>
              </w:rPr>
              <w:t xml:space="preserve">daļā ietverto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 Satversmes aizsardzības birojs pēc savas iniciatīvas sniedz atzinumu par IKT kritiskās infrastruktūras īpašnieka vai tiesiskā valdītāja nodarbinātajiem vai izvēlētajiem amata pretendentiem, un komersanta, kurš sniedz pakalpojumu IKT kritiskajā infrastruktūrā vai Eiropas mērogā īpaši nozīmīgā kritiskajā infrastruktūrā vai kuram ir piekļuve IKT kritiskās infrastruktūras vai Eiropas mērogā īpaši nozīmīgas kritiskās infrastruktūras funkcionēšanai nozīmīgai informācijai vai tehnoloģiskajām iekārtām, īpašnieku, valdes locekļu, darbinieku un darbu veikšanai vai pakalpojumu sniegšanai izvēlēto komersantu atbilstību pakalpojuma sniegšanai IKT kritiskajā infrastruktūrā vai Eiropas mērogā īpaši nozīmīgā kritiskajā infrastruktūrā vai piekļuvei tai. Ja ir saņemts negatīvs Satversmes aizsardzības biroja atzinums, IKT kritiskās infrastruktūras, tajā skaitā Eiropas mērogā īpaši nozīmīgas kritiskās infrastruktūras, īpašnieks vai tiesiskais valdītājs liedz komersantam vai personai piekļuvi A, B un C IKT kritiskajai infrastruktūrai vai Eiropas mērogā īpaši nozīmīgai kritiskajai infrastruktūrai un tās funkcionēšanai nozīmīgai informācijai vai tehnoloģiskajām iekārtām.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vairākkārt pausto iebildumu attiecībā uz noteikumu projekta 108. punktā paredzētajām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projektam nav deleģējums regulēt 108. punktā ietvertās prasības, proti, drošības iestādei pēc savas iniciatīvas pārbaudīt IKT kritiskās infrastruktūras īpašnieka vai tiesiskā valdītāja nodarbinātos, valdes locekļus vai amata pretendentus, un komersantus, kurš sniedz pakalpojumu. Vienlaikus, ņemot vērā to, ka, neatbilstot prasībām, var tikt saņemts negatīvs Satversmes aizsardzības biroja atzinums, liedzot piekļuvi konkrētai informācijai vai tehnoloģiskajām iekārtām, attiecīgi būtībā ar normu tiek ierobežotas personas pamattiesības. Ņemot vērā minēto un to, ka norma ir pamattiesību ierobežojoša un tai ir jābūt speciālam likumdevēja pilnvarojumam, attiecīgi norma ir svītrojama.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140.6. drošības skenēšanas veicējs apkopo informāciju par veiktajām drošības skenēšanām, norādot to veicējus, skenēšanas laiku, rezultātu kopsavilkumu un sniegtos ieteikumus. Visa ar drošības skenēšanām saistītā informācija ir ierobežotas pieejamības, un drošības skenēšanas veicējs nodrošina šīs informācijas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noteikumu projekta 140.6. apakšpunktā un 146. punktā svītrot vai precizēt normu, kas paredz, kurai informācijai piemērojams ierobežotas pieejamības informācijas statuss, jo minēto tostarp var noteikt vienīgi ar likumu.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noslēguma jautājumos, tai skaitā, ir jāietver pārejas kārtība no pastāvošā tiesiskā regulējuma uz jauno tiesisko regulējumu (</w:t>
            </w:r>
            <w:r w:rsidR="00000000" w:rsidRPr="00000000" w:rsidDel="00000000">
              <w:rPr>
                <w:i w:val="1"/>
                <w:rtl w:val="0"/>
              </w:rPr>
              <w:t xml:space="preserve">norādot uz pāreju, kas piemērojama tiesiskajām attiecībām, kas izveidojušās vai uzsāktas pirms jaunā normatīvā akta spēkā stāšanās, saskaņā ar agrāko tiesisko regulējumu un turpinās laikā, kad stājas spēkā jaunais normatīvais akts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Noteikumam projektam šobrīd ir ietverts pārejas regulējums attiecībā uz ārpakalpojuma līgumiem, publiskajiem iepirkumiem, publiskajiem elektronisko sakaru tīkliem, kuri līdz šo noteikumu spēkā stāšanās dienai ir nodoti ekspluatācijā vai šo noteikumu spēkā stāšanās dienā atrodas projektēšanas, būvniecības, ierīkošanas vai pārbūves stadijā, taču - ne noteikumu projektā, ne tā anotācijā nav norādīts pārejas regulējums attiecībā uz jau izsniegtajiem valsts drošības iestāžu atzinumiem, kas jau radījuši tiesisko stabilitāti, paļāvību un noteiktību.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un papildināt noteikumu projekta noslēguma jautājumus ar normu, kas nodrošina tiesisko paļāvību un tiesisko noteiktību attiecībā uz valsts drošības iestāžu atzinumiem, kuri izsniegti pirms šo noteikumu spēkā stāšanās un šobrīd rada tiesisko stabilitāti noteikumu projekta subjektiem (ņemot vērā to, ka ar šiem valsts drošības iestādes atzinumiem jau ir izveidotas un šobrīd turpinās konkrētas tiesiskās attiecības pirms noteikumu projekta spēkā stāšanās).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 Šo noteikumu </w:t>
            </w:r>
            <w:r w:rsidR="00000000" w:rsidRPr="00000000" w:rsidDel="00000000">
              <w:rPr>
                <w:rtl w:val="0"/>
              </w:rPr>
              <w:t xml:space="preserve">21.</w:t>
            </w:r>
            <w:r w:rsidR="00000000" w:rsidRPr="00000000" w:rsidDel="00000000">
              <w:rPr>
                <w:rtl w:val="0"/>
              </w:rPr>
              <w:t xml:space="preserve">–</w:t>
            </w:r>
            <w:r w:rsidR="00000000" w:rsidRPr="00000000" w:rsidDel="00000000">
              <w:rPr>
                <w:rtl w:val="0"/>
              </w:rPr>
              <w:t xml:space="preserve">81.</w:t>
            </w:r>
            <w:r w:rsidR="00000000" w:rsidRPr="00000000" w:rsidDel="00000000">
              <w:rPr>
                <w:rtl w:val="0"/>
              </w:rPr>
              <w:t xml:space="preserve">, </w:t>
            </w:r>
            <w:r w:rsidR="00000000" w:rsidRPr="00000000" w:rsidDel="00000000">
              <w:rPr>
                <w:rtl w:val="0"/>
              </w:rPr>
              <w:t xml:space="preserve">85.</w:t>
            </w:r>
            <w:r w:rsidR="00000000" w:rsidRPr="00000000" w:rsidDel="00000000">
              <w:rPr>
                <w:rtl w:val="0"/>
              </w:rPr>
              <w:t xml:space="preserve"> un </w:t>
            </w:r>
            <w:r w:rsidR="00000000" w:rsidRPr="00000000" w:rsidDel="00000000">
              <w:rPr>
                <w:rtl w:val="0"/>
              </w:rPr>
              <w:t xml:space="preserve">88. </w:t>
            </w:r>
            <w:r w:rsidR="00000000" w:rsidRPr="00000000" w:rsidDel="00000000">
              <w:rPr>
                <w:rtl w:val="0"/>
              </w:rPr>
              <w:t xml:space="preserve">punktā</w:t>
            </w:r>
            <w:r w:rsidR="00000000" w:rsidRPr="00000000" w:rsidDel="00000000">
              <w:rPr>
                <w:rtl w:val="0"/>
              </w:rPr>
              <w:t xml:space="preserve"> noteiktās prasības piemēro no 2025. gada 1. jūlija.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Eiropas Parlamenta un Padomes 2022. gada 14. decembra Direktīvas (ES) 2022/2555, ar ko paredz pasākumus nolūkā panākt vienādi augstu kiberdrošības līmeni visā Savienībā un ar ko groza Regulu (ES) Nr. 910/2014 un Direktīvu (ES) 2018/1972 un atceļ Direktīvu (ES) 2016/1148 (TID 2 direktīva), prasības atbilstoši anotācijas 5. sadaļai ir ietvertas noteikumu projekta vienībās, kuras norādītas noteikumu projekta 155. punktā ("no 21.–81. punkta"), lūdzam nodrošināt, ka prasības, kuras izriet no minētās direktīvas un ir obligātas (t.i., neparedz rīcības brīvību), stājas spēkā vispārējā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 Ārpakalpojumu līgumi, kas noslēgti pirms šo noteikumu stāšanās spēkā un neatbilst šajos noteikumos noteiktajām ārpakalpojumu prasībām, var palikt spēkā ne vēlāk kā līdz 2028.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precizētajā noteikumu projekta redakcijā mainīts termiņš no 2030. gada 1. janvāra uz 2028. gada 1. janvāri, uzturam sanāksmē pausto iebildumu, proti, - sniegt noteikumu projekta anotācijā skaidru tiesisko pamatojumu noteikumu projekta 157. punktā norādītajam termiņam - </w:t>
            </w:r>
            <w:r w:rsidR="00000000" w:rsidRPr="00000000" w:rsidDel="00000000">
              <w:rPr>
                <w:i w:val="1"/>
                <w:rtl w:val="0"/>
              </w:rPr>
              <w:t xml:space="preserve">līdz 2028. gada 1. janvārim</w:t>
            </w:r>
            <w:r w:rsidR="00000000" w:rsidRPr="00000000" w:rsidDel="00000000">
              <w:rPr>
                <w:rtl w:val="0"/>
              </w:rPr>
              <w:t xml:space="preserve"> - un to, vai šāds termiņš ir atbilstošs Publisko iepirkumu likumā iekļautajām prasībām attiecībā uz termiņiem, ievērojot to, ka daudzi līgumi publisko iepirkumu jomā var tikt slēgti uz 5 gadiem, jo to cita starpā pieļauj Publisko iepirkumu likuma 60. panta ceturtā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158. Šajos noteikumos noteiktās ārpakalpojumu prasības var nepiemērot publiskajiem iepirkumiem, kuri ir uzsākti pirms noteikumu spēkā stāšanās, bet ne vēlāk kā līdz 2028.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pamatojumu noteikumu projekta anotācijā attiecībā uz noteikumu projekta 158. punktā ietverto termiņu - līdz 2028. gada 1. janvārim.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159. Šo noteikumu </w:t>
            </w:r>
            <w:r w:rsidR="00000000" w:rsidRPr="00000000" w:rsidDel="00000000">
              <w:rPr>
                <w:rtl w:val="0"/>
              </w:rPr>
              <w:t xml:space="preserve">157.</w:t>
            </w:r>
            <w:r w:rsidR="00000000" w:rsidRPr="00000000" w:rsidDel="00000000">
              <w:rPr>
                <w:rtl w:val="0"/>
              </w:rPr>
              <w:t xml:space="preserve"> un </w:t>
            </w:r>
            <w:r w:rsidR="00000000" w:rsidRPr="00000000" w:rsidDel="00000000">
              <w:rPr>
                <w:rtl w:val="0"/>
              </w:rPr>
              <w:t xml:space="preserve">158.</w:t>
            </w:r>
            <w:r w:rsidR="00000000" w:rsidRPr="00000000" w:rsidDel="00000000">
              <w:rPr>
                <w:rtl w:val="0"/>
              </w:rPr>
              <w:t xml:space="preserve"> punkts neattiecas uz IKT kritiskās infrastruktūras īpašnieku vai tiesisko valdītāju.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tiesisko pamatojumu noteikumu projekta anotācijā, kādēļ netiek paredzēts samērīgs pārejas periods attiecībā uz IKT kritiskās infrastruktūras īpašnieku vai tiesisko valdītāju un tai skaitā šo subjektu nodibinātajām tiesiskajām attiecībām, līdz šo noteikumu spēkā stāšanās dienai. Ievērojot tiesisko stabilitāti, lūdzam iekļaut pārejas periodu arī attiecībā uz šiem subjektiem.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iebildumu attiecībā uz noteikumu projekta 8. pielikumā iekļauto 1. 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pielikuma 1. punkts noteic, ka </w:t>
            </w:r>
            <w:r w:rsidR="00000000" w:rsidRPr="00000000" w:rsidDel="00000000">
              <w:rPr>
                <w:i w:val="1"/>
                <w:rtl w:val="0"/>
              </w:rPr>
              <w:t xml:space="preserve">atbilstoši nozares specifikai ir pieļaujamas atkāpes no atsevišķiem prasību punktiem, par to atsevišķi vienojoties ar attiecīgo nozares ministriju un Aizsardzības ministriju</w:t>
            </w:r>
            <w:r w:rsidR="00000000" w:rsidRPr="00000000" w:rsidDel="00000000">
              <w:rPr>
                <w:rtl w:val="0"/>
              </w:rPr>
              <w:t xml:space="preserve">. Tieslietu ministrija iepriekš atzinumā lūdza noteikumu projekta anotācijā sniegt skaidrojumu noteikumu projekta 8. pielikumā noteiktajām prasībām, vienlaikus norādot to kā tiek paredzēts izpildīt 8. pielikuma 1. punktu, tai skaitā, novēršot iespējamību, ka minētais punkts varētu paredzēt noteikt plāna līmenī stingrākas prasībās kādas ir noteicis likumdevējs - likuma līmenī, un atbilstoši speciālam deleģējumam - Ministru kabineta noteikumu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atkārti norādām, ka ar noteikumu projekta 8. pielikuma 1. punktu kategoriski nav pieļaujams paredzēt atkāpes, kuras ir stingrākas par noteikumu projektā noteikto un likuma līmenī regulēto. Ņemot vērā minēto, noteikumu projekta 8. pielikuma 1. punkts šī brīža redakcijā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Ministru kabineta 2014. gada 2. decembra noteikumu Nr. 737 "Attīstības plānošanas dokumentu izstrādes un ietekmes izvērtēšanas noteikumi" IV sadaļa nosaka plānā ietveramos jautājumus, attiecīgi lūdzam izvērtēt 8. pielikumā ietverto punktu atbilstību plānā ietveramo jautājumu robežām.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5. sadaļā ailītē "Cita informācija" skaidrot noteikumu projekta 11. punktā paredzētā ierobežojuma atbilstību Līgumā par Eiropas Savienību (turpmāk - LESD) nostiprinātajam darba ņēmēju pārvietošanās brīvības principam un 86., 94. un 101. punkta atbilstību pakalpojumu sniegšanas brīvības (gadījumos, ja ierobežojums skar citā dalībvalstī reģistrētu pakalpojuma sniedzēju) un brīvas preču aprites principiem (ņemot vērā, ka šis princips tostarp attiecas uz no trešām valstīm ievestajiem ražojumiem, kas dalībvalstīs ir brīvā apgrozībā). Proti, nepieciešams sākotnēji pamatot, vai noteikumu projektā paredzētie ierobežojumi ir attiecīgo LESD normu darbības jomā (t.i., 34., 45. un 56. panta) un skaidrot noteikumu projektā paredzēto ierobežojumu atbilstību minēto principu ierobežojumu attaisnojamības kritērijiem (sk. 36. pantu, 45. panta 3. punktu un 52. pants kopsakarā ar 62. pantu) un samērīguma principam, norādot, vai netiek pārsniegts tas, kas ir nepieciešams minēto mērķu sasniegšanā.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pilnveidot noteikumu projekta anotācijas 5.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Eiropas Parlamenta un Padomes 2018. gada 11. decembra direktīvas Nr. 2018/1972/ES par Eiropas Elektronisko sakaru kodeksa izveidi (turpmāk - direktīva Nr. 2018/1972/ES)40. pants ar Eiropas Parlamenta un Padomes 2022. gada 14. decembra Direktīvas (ES) 2022/2555 , ar ko paredz pasākumus nolūkā panākt vienādi augstu kiberdrošības līmeni visā Savienībā un ar ko groza Regulu (ES) Nr. 910/2014 un Direktīvu (ES) 2018/1972 un atceļ Direktīvu (ES) 2016/1148 (TID 2 direktīva) (turpmāk - direktīva Nr. 2022/2555) 43. pantu ir svītrots no 2024. gada 18. oktobra, tādēļ, ja, kā norādīts noteikumu projekta anotācijas 5. sadaļā, 40. panta 1. punktā ietvertā prasība ir vienīgā, kuru paredzēts pārņemt no direktīvas Nr. 2018/1972/ES, nepieciešams svītrot noteikumu projekta informatīvās atsauces 2. punktu un atbilstoši svītrot noteikumu projekta anotācijas 5. sadaļā ietverto informāciju par 40.1. apakšpunkta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5.4. apakšsadaļas 1. tabulas A,B,C un D ailē norādot precīzas regulas Nr. 2024/2690* vienības, kuras tiek ieviestas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skaidrojot noteikumu projekta anotācijā direktīvas Nr. 2022/2555 11. panta 3. punkta (jo īpaši "b", "d" un "h" apakšpunkta), 21. panta 3. punkta (norādot precīzas noteikumu projekta vienības, kas paredz katra no 3. punkta teikumiem, pārņemšanu), 23. panta 3. punkta apakšpunktu, 25. panta, 33. panta 3. punkta "d" apakšpunkta pārņemšanu nacionālajā tiesību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ka direktīvas Nr. 2022/2555 24. panta 1. punktā paredzēta rīcības brīvība, papildinot 5.4. apakšsadaļas 1. tabulu ar skaidrojumu par minētās rīcības brīvības izmantošanu vai neizmantošanu (arī to, kā rīcības brīvība tikusi izmantota) un apsvērumiem rīcības brīvības izmantošanai vai neizmantošanai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*Eiropas Komisijas 2024. gada 17. oktobra Īstenošanas regula (ES) ,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w:t>
            </w:r>
            <w:r w:rsidR="00000000" w:rsidRPr="00000000" w:rsidDel="00000000">
              <w:rPr>
                <w:b w:val="1"/>
                <w:rtl w:val="0"/>
              </w:rPr>
              <w:t xml:space="preserve">ārpakalpojums – </w:t>
            </w:r>
            <w:r w:rsidR="00000000" w:rsidRPr="00000000" w:rsidDel="00000000">
              <w:rPr>
                <w:rtl w:val="0"/>
              </w:rPr>
              <w:t xml:space="preserve">jebkura veida vienošanās starp subjektu un pakalpojuma sniedzēju IKT jomā, saskaņā ar kuru šis pakalpojuma sniedzējs nodrošina procesu, sniedz pakalpojumu, veic tehnisko resursu piegādi vai veic citu darbību subjekta uzdevumā IKT infrastruktūrā;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atbilstoši juridiskās tehnikas prasībām lūdzam noteikumu projektā neskaidrot terminus, kuri skaidroti Nacionālās kiberdrošības likumā ("ārpakalpojums", "tīkls"), vai alternatīvi lūdzam noteikumu projekta anotācijā pamatot noteikumu projektā skaidroto terminu satura un tvēruma atbilstību minētajam likumam.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74.2. rezerves kopiju nolasīšanas pārbaudi izlases kārtā izvēlētai informācijas sistēmai, informācijas resursam vai tehniskā resursa konfigurācijai. Pārbaudi veic ne retāk kā reizi sešos mēnešos A klases informācijas sistēmai un ne retāk kā reizi gadā B klases informācijas sistēmai, vai pēc būtiskām kopējamās informācijas sistēmas vai rezerves kopiju veidošanas procedūras izmaiņām.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gadījumos, ja tiek paredzēta norāde uz "būtiskām" izmaiņām (arī 116. punktā u.c.) vai citas norādes, noteikumu projektā vai tā anotācijā skaidrot (nepieciešamības gadījumā minot piemērus), kādos gadījumos izmaiņas būtu novērtējamas kā būtiskas u.tml. Vēršam uzmanību, ka norāde uz būtiskumu ir subjektīva un var apgrūtināt noteikumu 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Subjekts var nepielietot šo noteikumu </w:t>
            </w:r>
            <w:r w:rsidR="00000000" w:rsidRPr="00000000" w:rsidDel="00000000">
              <w:rPr>
                <w:rtl w:val="0"/>
              </w:rPr>
              <w:t xml:space="preserve">81. </w:t>
            </w:r>
            <w:r w:rsidR="00000000" w:rsidRPr="00000000" w:rsidDel="00000000">
              <w:rPr>
                <w:rtl w:val="0"/>
              </w:rPr>
              <w:t xml:space="preserve">punktā</w:t>
            </w:r>
            <w:r w:rsidR="00000000" w:rsidRPr="00000000" w:rsidDel="00000000">
              <w:rPr>
                <w:rtl w:val="0"/>
              </w:rPr>
              <w:t xml:space="preserve"> noteiktos šifrēšanas risinājumus, ja subjekts risku novērtējuma ietvaros ir noteicis risku novēršanas pasākumus gadījumā, ja šifrēšanas risinājumu izmantošana nav tehniski iespējama.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šo noteikumu 81. punktā noteiktie šifrēšanas risinājumi nav jāpielieto, ja šifrēšanas risinājumu izmantošana nav tehniski iespējama, tādēļ nav juridiskās tehnikas prasībām atbilstoša 83. punktā ietvertā tiesība nepielietot minētos risinājumus. Tā vietā nepieciešamības gadījumā ierosinām 81. punktā svītrot norādi "ja tas ir tehniski iespējams" un izvērtēt un redakcionāli precizēt 83. punktu,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Subjekts var nepielietot šo noteikumu 81. punktā noteiktos šifrēšanas risinājumus, ja šifrēšanas risinājumu izmantošana nav tehniski iespējama. Šādos gadījumos subjekts risku novērtējuma ietvaros nosaka atbilstošus risku novēršanas pasākumus."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86.3. ja ārpakalpojuma sniedzēja juridiskās personas valde un padome sastāv no fiziskām personām, kuras ir kādas no šo noteikumu 85.1. apakšpunktā minētās valsts pilsonis; vai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ciparu "85.1." aizstājot ar ciparu "86.1.".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 IKT kritiskās infrastruktūras īpašniekam vai tiesiskajam valdītājam ārpakalpojuma līgumu par pakalpojuma sniegšanu saistībā ar IKT kritiskās infrastruktūras informācijas sistēmu, atļauts slēgt tikai pēc Satversmes aizsardzības biroja atzinuma saņemšanas, izņemot, ja ārpakalpojuma sniedzēja kapitāldaļu turētājs vai netiešās ietekmes guvējs ir </w:t>
            </w:r>
            <w:r w:rsidR="00000000" w:rsidRPr="00000000" w:rsidDel="00000000">
              <w:rPr>
                <w:rtl w:val="0"/>
              </w:rPr>
              <w:t xml:space="preserve">Valsts pārvaldes iekārtas likumā</w:t>
            </w:r>
            <w:r w:rsidR="00000000" w:rsidRPr="00000000" w:rsidDel="00000000">
              <w:rPr>
                <w:rtl w:val="0"/>
              </w:rPr>
              <w:t xml:space="preserve"> noteiktā publiskā persona. Satversmes aizsardzības birojs atzinumu sniedz trīs mēnešu laikā, nepieciešamības gadījumā atzinuma sniegšanu var pagarināt uz vēl vienu mēnesi.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93. punktā norādīt atskaites punktu trīs mēnešu termiņa aprēķināšanai, tādējādi nodrošinot attiecīgās normas nepārprotamu izteiksmi.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101.1. ja ārpakalpojuma sniedzējs tehniskā resursa iegādei atbilst šo noteikumu </w:t>
            </w:r>
            <w:r w:rsidR="00000000" w:rsidRPr="00000000" w:rsidDel="00000000">
              <w:rPr>
                <w:rtl w:val="0"/>
              </w:rPr>
              <w:t xml:space="preserve">93.</w:t>
            </w:r>
            <w:r w:rsidR="00000000" w:rsidRPr="00000000" w:rsidDel="00000000">
              <w:rPr>
                <w:rtl w:val="0"/>
              </w:rPr>
              <w:t xml:space="preserve"> punktā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ārpakalpojuma sniedzēja prasības noteiktas šo noteikumu 94. punktā, nevis 93., tādēļ aicinām izvērtēt un attiecīgi precizēt noteikumu projektā izdarītās attiecīgās atsauces uz 93.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 IKT kritiskās infrastruktūras īpašnieks vai tiesiskais valdītājs savā darbībā izmanto IKT, kas atbilst šajos noteikumos noteiktajām prasībām, kā arī ņem vērā Satversmes aizsardzības biroja ieteikumus kiberdrošības jomā, tai skaitā, par izmantojamām IKT un veicamajiem kiberdrošības pasākumiem.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Satversmes aizsardzības biroja ieteikumi ir obligāti jāņem vērā, tie faktiski ir norādījumi, tādēļ aicinām izvērtēt un vārdu "ieteikumus" aizstāt ar vārdu "norādījumus".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 Kiberincidents ir uzskatāms par nozīmīgu, ja tas atbilst būtiska kiberincidenta definīcijai Eiropas Komisijas 2024. gada 17. oktobra īstenošanas regulas (ES) </w:t>
            </w:r>
            <w:r w:rsidR="00000000" w:rsidRPr="00000000" w:rsidDel="00000000">
              <w:rPr>
                <w:rtl w:val="0"/>
              </w:rPr>
              <w:t xml:space="preserve">2024/2690</w:t>
            </w:r>
            <w:r w:rsidR="00000000" w:rsidRPr="00000000" w:rsidDel="00000000">
              <w:rPr>
                <w:rtl w:val="0"/>
              </w:rPr>
              <w:t xml:space="preserve">, kas attiecībā uz DNS pakalpojumu sniedzējiem, TLD nosaukumu reģistriem, mākoņdatošanas pakalpojumu sniedzējiem, datu centru pakalpojumu sniedzējiem, satura piegādes tīkla nodrošinātājiem, pārvaldītu pakalpojumu sniedzējiem, pārvaldītu drošības pakalpojumu sniedzējiem, tiešsaistes tirdzniecības vietu, tiešsaistes meklētājprogrammu un sociālās tīklošanās pakalpojumu platformu nodrošinātājiem un uzticamības pakalpojumu sniedzējiem nosaka Direktīvas (ES) 2022/2555 piemērošanas noteikumus, kuri attiecas uz kiberdrošības risku pārvaldības pasākumu tehniskajām un metodiskajām prasībām un precizē, kādos gadījumos incidentu uzskata par būtisku, 3. panta 1. punkta izpratnē.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ievērot noteikumu projekta 6. punktā atrunāto saīsinājumu "regula 2024/2690".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125.2. auditoram ir tehniskas iespējas veikt datu centra auditu pēc starptautisko standartu prasībām datu centru kiberdrošības jomā (piemēram, ISO/IEC 22237).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standartiem noformēt atbilstoši noteikumu Nr. 108 5. nodaļai "5. Norādes uz Latvijas nacionālā standarta statusā adaptētiem starptautiskajiem, reģionālajiem un Latvijas nacionālajiem standartiem". Vienlaikus vēršam uzmanību, ka atsauces uz standartiem normatīvajos aktos izdarāmas atbilstoši Standartizācijas likuma 13. panta prasībām, proti, ja tiek izdarīta netieša atsauce uz standartiem, tad tiesību akta tekstā jāsniedz norāde uz piemērojamajiem standartiem kā iespējamo risinājumu tiesību akta prasību izpildei* vai alternatīvi izdarāma atsauce uz obligātajiem standartiem, bet šādā šie standarti arī konkrēti jānorāda vai anotācijā jāskaidro, kādā normatīvajā aktā minētie standarti ir ietverti. Konkrētajā gadījumā no noteikumu projekta 125.2. apakšpunkta neizriet, vai atsauce izdarīta uz obligātajiem (atsauce norādīta tikai uz vienu no standartiem, kuru var izmantot) vai piemērojamiem standartiem (nav skaidrs, vai prasības vai auditu var veikt arī, neievērojot standartus), tādēļ noteikumu projekts atbilstoši precizējams vai sniedzams attiecīgs skaidrojums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 Lietojot netiešās atsauces, tiek rekomendēta standartu brīvprātīga pielietošana, lai izpildītu tiesību aktā noteiktās obligātās prasības;  gadījumā, ja šie standarti netiek piemēroti, personai, kas izvēlējusies izmantot alternatīvu risinājumu, ir jāpierāda, ka tās tehniskais izpildījuma rezultāts nav sliktāks par to, kas ir noteikts standartos, proti, ļauj izpildīt tiesību aktā noteiktās būtiskās prasības  (sīkāk, kā atsaukties uz standartiem sk., piem., https://m.juristavards.lv/wwwraksti/JV/BIBLIOTEKA/PRAKSES_MATERIALI/ATSAUCES%20UZ%20STANDARTIEM%20TIESIBU%20AKTOS__2022.PDF)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126.3. ja attiecināms, šo noteikumu </w:t>
            </w:r>
            <w:r w:rsidR="00000000" w:rsidRPr="00000000" w:rsidDel="00000000">
              <w:rPr>
                <w:rtl w:val="0"/>
              </w:rPr>
              <w:t xml:space="preserve">125.1.</w:t>
            </w:r>
            <w:r w:rsidR="00000000" w:rsidRPr="00000000" w:rsidDel="00000000">
              <w:rPr>
                <w:rtl w:val="0"/>
              </w:rPr>
              <w:t xml:space="preserve">125.1. </w:t>
            </w:r>
            <w:r w:rsidR="00000000" w:rsidRPr="00000000" w:rsidDel="00000000">
              <w:rPr>
                <w:rtl w:val="0"/>
              </w:rPr>
              <w:t xml:space="preserve">apakšpunk</w:t>
            </w:r>
            <w:r w:rsidR="00000000" w:rsidRPr="00000000" w:rsidDel="00000000">
              <w:rPr>
                <w:rtl w:val="0"/>
              </w:rPr>
              <w:t xml:space="preserve">t</w:t>
            </w:r>
            <w:r w:rsidR="00000000" w:rsidRPr="00000000" w:rsidDel="00000000">
              <w:rPr>
                <w:rtl w:val="0"/>
              </w:rPr>
              <w:t xml:space="preserve">ā minēto sertifikātu kopijas.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tehniski precizēt ("125.1.125.1. apakšpunktā"). Līdzīgi lūdzam precizēt noteikumu projekta 127.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156. Būtisko pakalpojumu sniedzēji, kas nav IKT kritiskās infrastruktūras īpašnieks vai tiesiskais valdītājs, sešu mēnešu laikā no šo noteikumu spēkā stāšanās brīža izvērtē noslēgtos ārpakalpojumu līgumus un informē Nacionālo kiberdrošības centru un Satversmes aizsardzības biroju par ārpakalpojumu līgumiem, kas neatbilst šo noteikumu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156. punktu, jo noteikumu projektā ir noteiktas prasības ārpakalpojumiem un ārpakalpojumu sniedzējiem (sk., noteikumu projekta 4. nodaļu), nevis ārpakalpojuma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157. Ārpakalpojumu līgumi, kas noslēgti pirms šo noteikumu stāšanās spēkā un neatbilst šajos noteikumos noteiktajām ārpakalpojumu prasībām, var palikt spēkā ne vēlāk kā līdz 2028. gada 1. janvārim.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noteikumu projekta 157. punktu, jo noteikumu projektā ir noteiktas prasības ārpakalpojumiem un ārpakalpojumu sniedzējiem (sk., noteikumu projekta 4. nodaļu), nevis ārpakalpojuma līgumiem.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Sandris Rāgs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noteikumu projekta anotācijas 1.3. apakšsadaļā pamatot noteikumu projekta 129. punktā ietvertā regulējuma atbilstību Nacionālās kiberdrošības likuma 44. panta otrās daļas otrajā teikumā Ministru kabinetam dotajam pilnvarojumam, kas paredz, ka Ministru kabinets nosaka kiberdrošības auditoram izvirzāmās prasības un kiberdrošības auditoru reģistrācijas kārtību. Vēršam uzmanību uz to, ka pretēji izziņas 410. un 411. punktā minētajam, anotācija nav papildināta ar attiecīgu pamatojumu. Ievērojot izziņas 410. punktā minēto, anotācijā būtu norādāms, ka Nacionālās kiberdrošības likuma 44. panta otrās daļas otrais teikums ir pilnvarojis Ministru kabinetu noteikt kiberdrošības auditoriem izvirzāmās prasības, tādējādi gadījumā, kad kiberdrošības auditors šīm prasībām vairs neatbilst, tas būtu izslēdzams no auditoru saraksta.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akta projekta ietekme uz spēkā esošo tiesību normu sistēmu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anotācijā vairākās vietās ir izdarītas atsauces uz vairākiem spēku zaudējušiem tiesību aktiem, tostarp Ministru kabineta 2015. gada 28. jūlija noteikumiem Nr. 442 "Kārtība, kādā tiek nodrošināta informācijas un komunikācijas tehnoloģiju sistēmu atbilstība minimālajām drošības prasībām" un Ministru kabineta 2011. gada 1. februāra noteikumiem Nr. 100 "Informācijas tehnoloģiju kritiskās infrastruktūras drošības pasākumu plānošanas un īstenošanas kārtība" (u.c.), </w:t>
            </w:r>
            <w:r w:rsidR="00000000" w:rsidRPr="00000000" w:rsidDel="00000000">
              <w:rPr>
                <w:u w:val="single"/>
                <w:rtl w:val="0"/>
              </w:rPr>
              <w:t xml:space="preserve">taču minētie Ministru kabineta noteikumi ir zaudējuši spēku 2024. gada 17.</w:t>
            </w:r>
            <w:r w:rsidR="00000000" w:rsidRPr="00000000" w:rsidDel="00000000">
              <w:rPr>
                <w:rtl w:val="0"/>
              </w:rPr>
              <w:t xml:space="preserve"> </w:t>
            </w:r>
            <w:r w:rsidR="00000000" w:rsidRPr="00000000" w:rsidDel="00000000">
              <w:rPr>
                <w:u w:val="single"/>
                <w:rtl w:val="0"/>
              </w:rPr>
              <w:t xml:space="preserve">oktobrī </w:t>
            </w:r>
            <w:r w:rsidR="00000000" w:rsidRPr="00000000" w:rsidDel="00000000">
              <w:rPr>
                <w:rtl w:val="0"/>
              </w:rPr>
              <w:t xml:space="preserve">un attiecīgi tostarp anotācijas 4. sadaļā ietvertā informācija nav aktuāla (šajā sadaļā ir jānorāda kādi grozījumi ar projektu izdarāmi citos tiesību aktos). Aizpildot anotāciju, lūdzam ievērot Vadlīnijas tiesību akta projekta sākotnējās ietekmes novērtēšanai un novērtējuma ziņojuma sagatavošanai TAP portālā (</w:t>
            </w:r>
            <w:r w:rsidR="00000000" w:rsidRPr="00000000" w:rsidDel="00000000">
              <w:rPr>
                <w:i w:val="1"/>
                <w:rtl w:val="0"/>
              </w:rPr>
              <w:t xml:space="preserve">sk., piem., vadlīniju 42. – 43.lpp.</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noteikumu projekta anotācijas 8.1.13. apakšsadaļu, ietverot visu nepieciešamo informāciju atbilstoši Valsts kancelejas 2021. gada vadlīnijās sākotnējās ietekmes novērtēšanai un novērtējuma ziņojuma sagatavošanai vienotajā tiesību aktu izstrādes un saskaņošanas portālā noteiktajam attiecībā uz datu aizsardzību (54.-55.lpp.), tajā skaitā norādot tiesisko pamatojumu personu datu apstrādei (tostarp arī spēkā esošu ārējo normatīvo aktu (-us) un tā normu (-as), no kā ir izsecināma nepieciešamība apstrādāt personu datus projektā paredzētajā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noteikumu projekta pielikumi, piemēram, pielikums Nr. 2 un Nr. 3, paredz noteiktu personas datu apstrādi (personu identificējošā informācija un kontaktinformācija), tādēļ lūdzam anotācijā ietvert informāciju, vai personas dati tiks glabāti un kāds būs datu glabāšanas termiņš, kāds ir pamatojums glabāšanas termiņam, nepieciešamības gadījumā papildinot noteikumu projektu, nosakot noteikumu projekta pielikumu ietvaros apstrādājamo personas datu glabāšanas termiņu.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20.12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22-TA-3183</w:t>
    </w:r>
    <w:r>
      <w:br/>
    </w:r>
    <w:r w:rsidR="00000000" w:rsidRPr="00000000" w:rsidDel="00000000">
      <w:rPr>
        <w:rtl w:val="0"/>
      </w:rPr>
      <w:t xml:space="preserve">Izdrukāts 09.04.2025. 20.12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Atzinumi_22-TA-3183.docx</dc:title>
</cp:coreProperties>
</file>

<file path=docProps/custom.xml><?xml version="1.0" encoding="utf-8"?>
<Properties xmlns="http://schemas.openxmlformats.org/officeDocument/2006/custom-properties" xmlns:vt="http://schemas.openxmlformats.org/officeDocument/2006/docPropsVTypes"/>
</file>