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valsts pensijām"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anotācijas 3.sadaļas 6.2.apakšpunktā norādītajai informācijai, lai realizētu izmaiņas likumprojektā un likumprojekts attiecībā uz apdrošināšanas stāža aprēķināšanu stātos spēkā ar 01.01.2025., 2024. gadā nepieciešams papildu finansējums Labklājības ministrijas sociālās apdrošināšanas speciālā budžeta (turpmāk – speciālais budžets) apakšprogrammā 04.05.00 “Valsts sociālās apdrošināšanas aģentūras speciālais budžets” 44 528 </w:t>
            </w:r>
            <w:r w:rsidR="00000000" w:rsidRPr="00000000" w:rsidDel="00000000">
              <w:rPr>
                <w:i w:val="1"/>
                <w:rtl w:val="0"/>
              </w:rPr>
              <w:t xml:space="preserve">euro</w:t>
            </w:r>
            <w:r w:rsidR="00000000" w:rsidRPr="00000000" w:rsidDel="00000000">
              <w:rPr>
                <w:rtl w:val="0"/>
              </w:rPr>
              <w:t xml:space="preserve"> apmērā VSAA IS izmaiņām, to paredzēts nodrošināt, samazinot izdevumus sociāla rakstura maksājumiem un kompensācijām speciālā budžeta apakšprogrammā 04.04.00 “Invaliditātes, maternitātes un slimības speciālais budžets”.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Fiskālās disciplīnas likuma 7.panta 3.daļai, izpildot gadskārtējā valsts budžeta likumu, nedrīkst pārsniegt ietvara likumā attiecīgajam gadam noteikto koriģēto maksimāli pieļaujamo valsts budžeta izdevumu kopējo apjomu, no kura atskaitīta fiskālā nodrošinājuma rezerve, izņemot Fiskālās disciplīnas likuma 5.panta pirmajā daļā minētos gadījumus. Savukārt, Fiskālās disciplīnas likuma 5.panta pirmajā daļā ir uzskaitīti gadījumi, kuri pieļauj koriģēto maksimāli pieļaujamo valsts budžeta izdevumu kopējā apjoma pārsniegumu, tostarp speciālā budžeta izdevumu izmaiņas sakarā ar aktuālākām sociālās apdrošināšanas pakalpojumu saņēmēju kontingenta, kā arī pensiju un pabalstu vidējā apmēra prognozēm. Līdz ar to, palielinot izdevumu apjomu speciālā budžeta apakšprogrammā 04.05.00 "Valsts sociālās apdrošināšanas aģentūras speciālais budžets" 44 528 </w:t>
            </w:r>
            <w:r w:rsidR="00000000" w:rsidRPr="00000000" w:rsidDel="00000000">
              <w:rPr>
                <w:i w:val="1"/>
                <w:rtl w:val="0"/>
              </w:rPr>
              <w:t xml:space="preserve">euro</w:t>
            </w:r>
            <w:r w:rsidR="00000000" w:rsidRPr="00000000" w:rsidDel="00000000">
              <w:rPr>
                <w:rtl w:val="0"/>
              </w:rPr>
              <w:t xml:space="preserve"> apmērā, tiek pārkāpta Fiskālās disciplīnas likuma 7.panta 3.daļa, ņemot vērā, ka izdevumu pieaugums nav saistīts ar aktuālākām sociālās apdrošināšanas pakalpojumu saņēmēju kontingenta, kā arī pensiju un pabalstu vidējā apmēra prognozēm.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jāatzīmē, ka likumprojektā iekļautās normas tika skatītas Sadarbības sanāksmes š.g. 27.februāra sēdē un, izskatot LM pieteikto jautājumu saistībā ar nepieciešamajiem grozījumiem likumā “Par valsts pensijām”, LM nebija norādījusi, ka minēto normu īstenošanai būs nepieciešams papildu valsts budžeta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likumprojektā paredzēto pasākumu īstenošana jānodrošina Valsts sociālās apdrošināšanas aģentūrai piešķirto valsts budžeta līdzekļu ietvaros. Līdz ar to precizējama anotācija un 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6.2.apakšpunktu, sniedzot informāciju par 2024.gada 5 mēnešos izpildes rādītājiem izdevumiem darbā nodarīto kaitējuma atlīdzībai.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24-TA-269</w:t>
    </w:r>
    <w:r>
      <w:br/>
    </w:r>
    <w:r w:rsidR="00000000" w:rsidRPr="00000000" w:rsidDel="00000000">
      <w:rPr>
        <w:rtl w:val="0"/>
      </w:rPr>
      <w:t xml:space="preserve">Izdrukāts 05.07.2024. 17.05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24-TA-269</w:t>
    </w:r>
    <w:r>
      <w:br/>
    </w:r>
    <w:r w:rsidR="00000000" w:rsidRPr="00000000" w:rsidDel="00000000">
      <w:rPr>
        <w:rtl w:val="0"/>
      </w:rPr>
      <w:t xml:space="preserve">Izdrukāts 05.07.2024. 17.05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Atzinumi_24-TA-269.docx</dc:title>
</cp:coreProperties>
</file>

<file path=docProps/custom.xml><?xml version="1.0" encoding="utf-8"?>
<Properties xmlns="http://schemas.openxmlformats.org/officeDocument/2006/custom-properties" xmlns:vt="http://schemas.openxmlformats.org/officeDocument/2006/docPropsVTypes"/>
</file>