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skaidrojumu par noteikumu 603.3. apakšpunktā paredzētajiem grozījumiem. Anotācijā šobrīd norādīts, ka, svītrojot vārdus "kas atgūstams no valsts budžeta priekšnodokļa veidā", tiek nodrošinātas skaidras tiesību normas un mazinātas interpretācijas iespējas. Tomēr pēc būtības ar grozījumiem 60.3. apakšpunktā tiek mainīts attiecināmo izmaksu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04.03.2024.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04.03.2024.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