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paralēli iesniegt arī grozījumus 1.2.2.1.pasākuma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1.2.2.1. pasākuma ietvaros nav sniegts valsts budžeta finansējums. Lūdzam ņemt to vērā, plānojot šīs konkrētas pārdales, proti, pārdaļu ietvaros finansējuma avotiem jābūt identiskiem - viena pasākuma ES fondu finansējums var tikt pārdalīts tikai cita pasākuma ES fondu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(Latvijas Vēstnesis, 2015, 238., 254. nr.; 2016, 194. nr.; 2017, 91., 237. nr.; 2018, 162., 224. nr.; 2019, 32. nr.; 2020, 71C., 146. nr.; 2021, 93. nr.; 2022, 78., 137. nr.; 2023, 118.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2023. gada 29. jūnija e-pasta vēstulē Nr. 5.1/25/21/36 iekļauto argumentāciju, kā arī to, ka valsts budžeta līdzekļi ir ierobežoti un ES fondu līdzfinansējumu var nodrošināt nacionālā līmenī arī no privātā līdzfinansējuma, skaidrojam, ka EM minētajā uzņēmumu atbalsta gadījumā kā nacionālais līdzfinansējums atbilstoši iepriekš indikatīvi iezīmētajam finanšu avotu sadalījumam un valsts budžeta faktiskajām iespējām būtu izmantojams šo uzņēmumu privātais līdzfinansējums, nevis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šajā konkrētajā gadījumā nacionālā finansējuma ietvaros ir plānots palielināt tikai valsts budžeta daļu, nemainot privāto finansējumu, kas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ar skaidrojumu, kādā veidā grozījumi ietekmēs noslēgto vienošanos, īstenošanā esošo projektu un tā izpildi, tostarp finansējuma saņēmēju, ņemot vērā, ka tiek palielināts rādītāju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1.2.2.1. pasākuma kopējo no projektiem atbrīvoto finansējumu. Vēršam uzmanību, ka uz 21.07.2023. no projektiem atbrīvotais finansējums ir tikai ap 17 tūkst.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13.1.6. SAM kopējo finansējumu un 1.2.2.1. pasākuma projektu REACT-EU finansējuma atlikumu. Norādām, ka atbilstoši spēkā esošajiem 1.2.2.1. un 1.2.2.3. pasākumu MK noteikumiem, kopējais 13.1.6. SAM  REACT-EU finansējums ir 12 719 700 eiro, 1.2.2.1. pasākumā 9 219 700 eiro un 1.2.2.3. pasākumā- 3 500 000 eiro, savukārt pārējais sākotnēji plānotais 13.1.6. SAM REACT-EU finansējums ir pārdalīts uz 13.1.1.3. un 13.1.1.4. pasākumiem ar MK noteikumu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4.sadaļu ar atbilstošu informāciju, ņemot vērā anotācijas 1.3.apakšsdaļā norādīto "Paralēli Ekonomikas ministrija Tiesību aktu portālā virza Ministru kabineta noteikumu projektu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(Nr. 23-TA-1196) par finansējuma pārdali. Ministru kabineta noteikumos Nr. 617 “Darbības programmas "Izaugsme un nodarbinātība" 1.2.2. specifiskā atbalsta mērķa "Veicināt inovāciju ieviešanu komersantos" 1.2.2.1. pasākuma "Atbalsts nodarbināto apmācībām" pirmās un otrās projektu iesniegumu atlases kārtas īstenošanas noteikumi” (turpmāk – MK noteikumi Nr. 617) veidojas REACT-EU atlikums 4 962 489 euro apmērā, Ekonomikas ministrija rosina Ministru kabinetam veikt finansējuma pārdali uz starptautiskās konkurētspējas veicināšanas atbalsta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punktu, kas paredzētu, ka 3.2.1.2. pasākuma finansējuma saņēmējs var uzņemties papildu līgumsaistības projektā Nr. 3.2.1.2/16/I/001 “Starptautiskās konkurētspējas veicināšana” tikai pēc kārtējo darbības programmu "Izaugsme un nodarbinātība" grozījumu apstiprināšanas no Eiropas Komisijas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pārdalot: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nevar saskaņot ERAF finansējuma pārdali 1.2.2.1 "Atbalsts un nodarbināto apmācībām" projektos, tā kā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Bet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saskatām budžetam neitrālu risinājumu un kā iespēju ātrāk uzsākt nepieciešamās investīcijas atbalstam tirgus pārorientācijai, ārējo tirgus apgūšanai, lai atrastu jaunus sadarbības partnerus, piemēram, atbalsts pasākumu organizēšanai un ārzemju vizīšu apmeklēšanai, ja tās tiek uzsāktas 2014.-2020. plānošanas perioda vai Atveseļošanas fonda ietvaros (ar MK noteikumu grozījumiem rosināto finansējuma pārdaļu risinājums) ar nosacījumu, ka konkrētie projekti/izdevumi tiek “pārcelti” finansēšanai no 2021-2027. gada ES fondu plānošanas perioda programmas gadījumā, virzot attiecīgu MK lēmuma priekšlikumu 2024. gada otrā pusē. Rīcība pēc būtības būtu līdzīga kā EM specifiskā atbalsta mērķa 4.3.1 “Veicināt energoefektivitāti un vietējo AER izmantošanu centralizētajā siltumapgādē” gadījumā, kad ar MK protokollēmumu tika noteikts izstrādāt konkrētu rīcības plānu, paredzot 2014.-2020. plānošanas periodā papildu projektu izdevumus pārcelt uz 2021-2027. gada ES fondu plānošanas period programmu, lai mazinātu ar Ministru kabineta 2022. gada 8. marta sēdes protokollēmuma (prot. Nr. 13 37. §) 3. punktu piešķirto virssaistību negatīvo ietekmi uz vispārējās valdības budžeta bilanci. Tāpat iespējams scenārijs, kad, izvērtējot 2014.-2020. gadu plānošanas perioda noslēguma izdevumus 2024. gada vidū, tiek secināts, ka minētie 2014.-2020. gadu plānošanas perioda izdevumus tomēr nepieciešams atstāt darbības programmas ietvaros, lai saņemtu pilnu ES fondu piešķīrumu no EK, attiecīgi tad varētu rosināt pārskatīt izdevumu pārcelšanas nepieciešamības MK lēmumu. Aicinām EM izskatīt šāda risinājuma variantu un piedāvāt redakcijas MK noteikumu grozījumu un MK protokollēmuma projekta pakotnē.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Davidovičs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13.1.6. specifiskā atbalsta mērķa finansējumu 5 891 094 euro apmērā uz 13.1.1.3. pasākumu "Atveseļošanās pasākumi ekonomikas nozarē -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piedāvātajiem grozījumiem 13.1.6. pārdalāmā summa ir 5 891 095 euro. Lūdzam pārbaudīt un nepieciešamības gadījumā precizēt šo finansējumu visos MK noteikumu grozījumu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vai 5 891 094 euro, ko plāno pārdalīt no 13.1.6.SAM ir ES fondu finansējums vai ietver sevī arī valsts budžeta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1.2.2.1. pasākuma finansējumu 4 195 844 euro apmērā uz 3.2.1.2. pasākumu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4 195 844 euro, ko plāno pārdalīt no 1.2.2.1. pasākuma ir ES fondu finansējums ietver sevī arī valsts budžeta daļu. Informējam, ka 1.2.2.1. pasākuma ietvaros valsts budžets nav paredzēts.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pārdalot 1.2.2.1. pasākuma finansējumu 4 195 844 euro apmērā uz 3.2.1.2.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apakšpunktu, jo tas dublē protokollēmuma 3.1.2. apakšpunktā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grozījumi līgumos ar Centrālās finanšu un līgumu aģentūras un finansējuma saņēmējiem, kas paredz finansējuma samazinājumu par 10 086 398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spriežot pēc iesniegtās informācijas pārdalāmās summas kopējais apjoms ir 10 086 938 euro. Lūdzam vēlreiz pārbaudīt visu finansējumu, ko plāno pārdalīt šo grozījumu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pasākumam pieejamais attiecināmais finansējums REACT-EU ietvaros ir 11 871 395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10 000 122 </w:t>
            </w:r>
            <w:r w:rsidR="00000000" w:rsidRPr="00000000" w:rsidDel="00000000">
              <w:rPr>
                <w:i w:val="1"/>
                <w:rtl w:val="0"/>
              </w:rPr>
              <w:t xml:space="preserve">euro</w:t>
            </w:r>
            <w:r w:rsidR="00000000" w:rsidRPr="00000000" w:rsidDel="00000000">
              <w:rPr>
                <w:rtl w:val="0"/>
              </w:rPr>
              <w:t xml:space="preserve">, valsts budžeta finansējums – 1 871 273 </w:t>
            </w:r>
            <w:r w:rsidR="00000000" w:rsidRPr="00000000" w:rsidDel="00000000">
              <w:rPr>
                <w:i w:val="1"/>
                <w:rtl w:val="0"/>
              </w:rPr>
              <w:t xml:space="preserve">euro </w:t>
            </w:r>
            <w:r w:rsidR="00000000" w:rsidRPr="00000000" w:rsidDel="00000000">
              <w:rPr>
                <w:rtl w:val="0"/>
              </w:rPr>
              <w:t xml:space="preserve">attiecībā uz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un protokollēmumā norādītajam tiek pārdalīts 13.1.6. specifiskā atbalsta mērķa finansējums 5 891 094 euro apmērā uz 13.1.1.3. pasākumu "Atveseļošanās pasākumi ekonomikas nozarē - Starptautiskās konkurētspējas veicināšana", kopējā summa 9.</w:t>
            </w:r>
            <w:r w:rsidR="00000000" w:rsidRPr="00000000" w:rsidDel="00000000">
              <w:rPr>
                <w:vertAlign w:val="superscript"/>
                <w:rtl w:val="0"/>
              </w:rPr>
              <w:t xml:space="preserve">1 </w:t>
            </w:r>
            <w:r w:rsidR="00000000" w:rsidRPr="00000000" w:rsidDel="00000000">
              <w:rPr>
                <w:rtl w:val="0"/>
              </w:rPr>
              <w:t xml:space="preserve">punktā ar pārdalīto finansējumu veidotu 11 871 394.00 euro, nevis 11 871 395.00 euro. (5 980 300.00  + 5 891 094.00=11 871 394.00)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finansējuma sadalījumu pa avotiem, ņemot vērā, ka 13.1.1.3. pasākumā ERAF finasējums ir 84,2371%, bet valsts budžets- 15,7629%.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Vecvanaga-Borovska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"Risinājuma apraksts" 1.punkta pirmo rindkopu ar vārdiem "kā sadarbības iestādi" aiz vārdiem "Centrālā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un aprēķiniem rādītāju palielināšanai 1.2.2.1. pasākumā par 30 komersantiem un 13.1.1.3. pasākumā par 30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finansējuma saņēmēju, ņemot vērā, ka ar noteikumu projektu tiek palielināts rādītāju skaits, kas finansējuma saņēmējam būs jāsasniedz.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precizēto finansiālo ietekmi norādīt arī 5.1.apakšpunktā, kā arī 6.punktā svītrot pēdējo rindkopu, kas nav finansējuma aprēķina pamatojums un vienlaikus dublē anotācijas 1.3. sadaļā jau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 sadarbībā ar Centrālo finanšu un līgumu aģentūru veicināt to, ka finansējuma saņēmēji uzņemas papildu līgumsaistības projektā Nr. 3.2.1.2/16/I/001 “Starptautiskās konkurētspējas veicināšana”, palielinot pieejamo kopējo attiecināmo finansējumu kopā par 10 086 938 euro pēc tam, kad stājušies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norādīto informāciju par kopējo pārdalāmo finansējumu starp anotāciju un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3.2.1.2. pasākumam pieejamais kopējais attiecināmais finansējums ir 96 479 792 </w:t>
            </w:r>
            <w:r w:rsidR="00000000" w:rsidRPr="00000000" w:rsidDel="00000000">
              <w:rPr>
                <w:i w:val="1"/>
                <w:rtl w:val="0"/>
              </w:rPr>
              <w:t xml:space="preserve">euro</w:t>
            </w:r>
            <w:r w:rsidR="00000000" w:rsidRPr="00000000" w:rsidDel="00000000">
              <w:rPr>
                <w:rtl w:val="0"/>
              </w:rPr>
              <w:t xml:space="preserve">, tai skaitā Eiropas Reģionālās attīstības fonda finansējums – 82 007 818 </w:t>
            </w:r>
            <w:r w:rsidR="00000000" w:rsidRPr="00000000" w:rsidDel="00000000">
              <w:rPr>
                <w:i w:val="1"/>
                <w:rtl w:val="0"/>
              </w:rPr>
              <w:t xml:space="preserve">euro</w:t>
            </w:r>
            <w:r w:rsidR="00000000" w:rsidRPr="00000000" w:rsidDel="00000000">
              <w:rPr>
                <w:rtl w:val="0"/>
              </w:rPr>
              <w:t xml:space="preserve">, valsts budžeta finansējums – 7 244 777​​​​​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plānotās finanšu pārdales izvērtēt un konsultēties ar LIAA vai būs pietiekama kapacitāte un </w:t>
            </w:r>
            <w:r w:rsidR="00000000" w:rsidRPr="00000000" w:rsidDel="00000000">
              <w:rPr>
                <w:u w:val="single"/>
                <w:rtl w:val="0"/>
              </w:rPr>
              <w:t xml:space="preserve">resursi</w:t>
            </w:r>
            <w:r w:rsidR="00000000" w:rsidRPr="00000000" w:rsidDel="00000000">
              <w:rPr>
                <w:rtl w:val="0"/>
              </w:rPr>
              <w:t xml:space="preserve">, lai apgūtu papildus piešķirto finansējumu, ņemot vērā, ka 14.2.3. un 14.4. apakšpunktā minēto darbību īstenošanas termiņš ir ne ilgāk kā līdz 2023.gada 31.oktobrim, bet pārējām darbībām ne vēlāk kā līdz 2023.gada 31.augstam, vēršam uzmanību, ka pēdējais maksājums ir jāveic līdz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Vecvanaga-Borovska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Iepirkumus, kas nepieciešami projekta īstenošanai, finansējuma saņēmējs veic saskaņā ar normatīvajiem aktiem publisko iepirkumu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ekonomiskās priekšrocības preču piegādātājiem un pakalpojumu sniedzējiem, tādējādi novēršot tiem komercdarbības atbalsta piešķiršanas risku, tie būtu jāizraugās atklātā, pārredzamā, nediskriminējošā un konkurenci nodrošinošā procedūrā. Lūdzam papildināt noteikumu punktu ar nosacījumu, ka īstenojot projektu, finansējuma saņēmējs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23-TA-1581</w:t>
    </w:r>
    <w:r>
      <w:br/>
    </w:r>
    <w:r w:rsidR="00000000" w:rsidRPr="00000000" w:rsidDel="00000000">
      <w:rPr>
        <w:rtl w:val="0"/>
      </w:rPr>
      <w:t xml:space="preserve">Izdrukāts 26.07.2023.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23-TA-1581</w:t>
    </w:r>
    <w:r>
      <w:br/>
    </w:r>
    <w:r w:rsidR="00000000" w:rsidRPr="00000000" w:rsidDel="00000000">
      <w:rPr>
        <w:rtl w:val="0"/>
      </w:rPr>
      <w:t xml:space="preserve">Izdrukāts 26.07.2023.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Atzinumi_23-TA-1581.docx</dc:title>
</cp:coreProperties>
</file>

<file path=docProps/custom.xml><?xml version="1.0" encoding="utf-8"?>
<Properties xmlns="http://schemas.openxmlformats.org/officeDocument/2006/custom-properties" xmlns:vt="http://schemas.openxmlformats.org/officeDocument/2006/docPropsVTypes"/>
</file>