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25-TA-340: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2009. gada 8. septembra noteikumos Nr. 1015 "Kārtība, kādā izsniedz speciālo atļauju (licenci) komercdarbībai zvejniecībā, kā arī maksā valsts nodevu par speciālās atļaujas (licences) izsniegšanu"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Atļauju (licenci) piešķir uz pieciem gadiem, izņemot šo noteikumu </w:t>
            </w:r>
            <w:r w:rsidR="00000000" w:rsidRPr="00000000" w:rsidDel="00000000">
              <w:rPr>
                <w:rtl w:val="0"/>
              </w:rPr>
              <w:t xml:space="preserve">11.</w:t>
            </w:r>
            <w:r w:rsidR="00000000" w:rsidRPr="00000000" w:rsidDel="00000000">
              <w:rPr>
                <w:rtl w:val="0"/>
              </w:rPr>
              <w:t xml:space="preserve"> punktā minētajos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ka Ministru kabineta 2009. gada 8. septembra noteikumos Nr. 1015 "Kārtība, kādā izsniedz speciālo atļauju (licenci) komercdarbībai zvejniecībā, kā arī maksā valsts nodevu par speciālās atļaujas (licences) izsniegšanu" jau pašlaik ietvertas normas, kas paredz licences izsniegšanu uz noteiktu termiņu, tomēr vēršam uzmanību uz to, ka saskaņā ar Eiropas Savienības Tiesas praksi licences izsniegšana uz noteiktu laiku var būt uzskatāma par ierobežojumu pakalpojumu sniegšanas brīvībai un komercdarbības brīvībai, kas ir pieļaujama tikai izņēmuma gadījumos būtiskās sabiedrības interesēs, pārējos gadījumos nosakot beztermiņa licences (skat. Eiropas Savienības Tiesas spriedumu Nr. C‑76/90 </w:t>
            </w:r>
            <w:r w:rsidR="00000000" w:rsidRPr="00000000" w:rsidDel="00000000">
              <w:rPr>
                <w:i w:val="1"/>
                <w:rtl w:val="0"/>
              </w:rPr>
              <w:t xml:space="preserve">Säger v. Dennemeyer</w:t>
            </w:r>
            <w:r w:rsidR="00000000" w:rsidRPr="00000000" w:rsidDel="00000000">
              <w:rPr>
                <w:rtl w:val="0"/>
              </w:rPr>
              <w:t xml:space="preserve">). Eiropas Savienības Tiesa ir norādījusi, ka nepamatotas prasības attiecībā uz licences derīguma termiņu neatbilst arī proporcionalitātes principam (skatīt Eiropas Savienības Tiesas spriedumu Nr. C‑390/99 </w:t>
            </w:r>
            <w:r w:rsidR="00000000" w:rsidRPr="00000000" w:rsidDel="00000000">
              <w:rPr>
                <w:i w:val="1"/>
                <w:rtl w:val="0"/>
              </w:rPr>
              <w:t xml:space="preserve">Canal Satelite Digital SL V Administracion General del Estado and Distribuitora de Television Digital SA (DTS)</w:t>
            </w:r>
            <w:r w:rsidR="00000000" w:rsidRPr="00000000" w:rsidDel="00000000">
              <w:rPr>
                <w:rtl w:val="0"/>
              </w:rPr>
              <w:t xml:space="preserve">). Tādēļ lūdzam izvērtēt, vai attiecīgo mērķi nav iespējams efektīvi sasniegt ar citiem alternatīviem līdzekļiem, kuru negatīvais iespaids uz zvejnieku tiesībām un leģitīmajām interesēm būtu mazāks. Ievērojot minēto, aicinām izvērtēt iespēju precizēt projektu, paredzot beztermiņa atļaujas darbības laiku un paredzot atļaujas anulēšanas iespējas tikai precīzi uzskaitītos gadījumos, vai arī projekta anotācijā izvērstāk pamatojot atļauju terminēšanas nepieciešamību un atbilstību minētajām brīvībām un proporcionalitātes principam.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25-TA-340</w:t>
    </w:r>
    <w:r>
      <w:br/>
    </w:r>
    <w:r w:rsidR="00000000" w:rsidRPr="00000000" w:rsidDel="00000000">
      <w:rPr>
        <w:rtl w:val="0"/>
      </w:rPr>
      <w:t xml:space="preserve">Izdrukāts 27.05.2025. 10.34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25-TA-340</w:t>
    </w:r>
    <w:r>
      <w:br/>
    </w:r>
    <w:r w:rsidR="00000000" w:rsidRPr="00000000" w:rsidDel="00000000">
      <w:rPr>
        <w:rtl w:val="0"/>
      </w:rPr>
      <w:t xml:space="preserve">Izdrukāts 27.05.2025. 10.34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Atzinumi_25-TA-340.docx</dc:title>
</cp:coreProperties>
</file>

<file path=docProps/custom.xml><?xml version="1.0" encoding="utf-8"?>
<Properties xmlns="http://schemas.openxmlformats.org/officeDocument/2006/custom-properties" xmlns:vt="http://schemas.openxmlformats.org/officeDocument/2006/docPropsVTypes"/>
</file>