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7B035" w14:textId="77777777" w:rsidR="00786DAF" w:rsidRDefault="00786DAF" w:rsidP="002C22B9">
      <w:pPr>
        <w:jc w:val="center"/>
        <w:rPr>
          <w:sz w:val="20"/>
        </w:rPr>
      </w:pPr>
    </w:p>
    <w:p w14:paraId="454FBA1E" w14:textId="77777777" w:rsidR="002C22B9" w:rsidRDefault="002C22B9" w:rsidP="002C22B9">
      <w:pPr>
        <w:jc w:val="center"/>
        <w:rPr>
          <w:sz w:val="20"/>
        </w:rPr>
      </w:pPr>
      <w:r w:rsidRPr="00914649">
        <w:rPr>
          <w:sz w:val="20"/>
        </w:rPr>
        <w:t>Rīgā</w:t>
      </w:r>
    </w:p>
    <w:p w14:paraId="1EA3FB13" w14:textId="77777777" w:rsidR="002C22B9" w:rsidRDefault="002C22B9" w:rsidP="007F3771">
      <w:pPr>
        <w:rPr>
          <w:spacing w:val="4"/>
          <w:sz w:val="20"/>
        </w:rPr>
      </w:pPr>
    </w:p>
    <w:tbl>
      <w:tblPr>
        <w:tblW w:w="0" w:type="auto"/>
        <w:tblLook w:val="0000" w:firstRow="0" w:lastRow="0" w:firstColumn="0" w:lastColumn="0" w:noHBand="0" w:noVBand="0"/>
      </w:tblPr>
      <w:tblGrid>
        <w:gridCol w:w="450"/>
        <w:gridCol w:w="1785"/>
        <w:gridCol w:w="708"/>
        <w:gridCol w:w="2727"/>
      </w:tblGrid>
      <w:tr w:rsidR="002C22B9" w:rsidRPr="00615936" w14:paraId="4C0A0B95" w14:textId="77777777" w:rsidTr="009F77B9">
        <w:tc>
          <w:tcPr>
            <w:tcW w:w="450" w:type="dxa"/>
            <w:tcBorders>
              <w:top w:val="nil"/>
              <w:left w:val="nil"/>
              <w:bottom w:val="nil"/>
              <w:right w:val="nil"/>
            </w:tcBorders>
          </w:tcPr>
          <w:p w14:paraId="13E3CA24" w14:textId="77777777" w:rsidR="002C22B9" w:rsidRPr="00615936" w:rsidRDefault="002C22B9" w:rsidP="002C22B9">
            <w:pPr>
              <w:tabs>
                <w:tab w:val="left" w:pos="360"/>
                <w:tab w:val="left" w:pos="3960"/>
              </w:tabs>
              <w:rPr>
                <w:sz w:val="20"/>
              </w:rPr>
            </w:pPr>
          </w:p>
        </w:tc>
        <w:bookmarkStart w:id="0" w:name="reg_dat"/>
        <w:tc>
          <w:tcPr>
            <w:tcW w:w="1785" w:type="dxa"/>
            <w:tcBorders>
              <w:top w:val="nil"/>
              <w:left w:val="nil"/>
              <w:bottom w:val="single" w:sz="4" w:space="0" w:color="auto"/>
              <w:right w:val="nil"/>
            </w:tcBorders>
          </w:tcPr>
          <w:p w14:paraId="24CE906F" w14:textId="62C221DD" w:rsidR="002C22B9" w:rsidRPr="00615936" w:rsidRDefault="002C22B9" w:rsidP="002C22B9">
            <w:pPr>
              <w:tabs>
                <w:tab w:val="left" w:pos="3960"/>
              </w:tabs>
              <w:rPr>
                <w:szCs w:val="24"/>
              </w:rPr>
            </w:pPr>
            <w:r w:rsidRPr="00615936">
              <w:rPr>
                <w:szCs w:val="24"/>
              </w:rPr>
              <w:fldChar w:fldCharType="begin">
                <w:ffData>
                  <w:name w:val="reg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17010">
              <w:rPr>
                <w:szCs w:val="24"/>
              </w:rPr>
              <w:t>30.04.2021</w:t>
            </w:r>
            <w:r w:rsidRPr="00615936">
              <w:rPr>
                <w:szCs w:val="24"/>
              </w:rPr>
              <w:fldChar w:fldCharType="end"/>
            </w:r>
            <w:bookmarkEnd w:id="0"/>
          </w:p>
        </w:tc>
        <w:tc>
          <w:tcPr>
            <w:tcW w:w="708" w:type="dxa"/>
            <w:tcBorders>
              <w:top w:val="nil"/>
              <w:left w:val="nil"/>
              <w:bottom w:val="nil"/>
              <w:right w:val="nil"/>
            </w:tcBorders>
          </w:tcPr>
          <w:p w14:paraId="2387C57F" w14:textId="77777777" w:rsidR="002C22B9" w:rsidRPr="00615936" w:rsidRDefault="002C22B9" w:rsidP="002C22B9">
            <w:pPr>
              <w:tabs>
                <w:tab w:val="left" w:pos="360"/>
                <w:tab w:val="left" w:pos="3960"/>
              </w:tabs>
              <w:jc w:val="center"/>
              <w:rPr>
                <w:sz w:val="20"/>
              </w:rPr>
            </w:pPr>
            <w:r w:rsidRPr="00615936">
              <w:rPr>
                <w:sz w:val="20"/>
              </w:rPr>
              <w:t>Nr.</w:t>
            </w:r>
          </w:p>
        </w:tc>
        <w:bookmarkStart w:id="1" w:name="lietas_nr"/>
        <w:tc>
          <w:tcPr>
            <w:tcW w:w="2727" w:type="dxa"/>
            <w:tcBorders>
              <w:top w:val="nil"/>
              <w:left w:val="nil"/>
              <w:bottom w:val="single" w:sz="4" w:space="0" w:color="auto"/>
              <w:right w:val="nil"/>
            </w:tcBorders>
          </w:tcPr>
          <w:p w14:paraId="2AB06471" w14:textId="104A3159" w:rsidR="002C22B9" w:rsidRPr="00615936" w:rsidRDefault="002C22B9" w:rsidP="002C22B9">
            <w:pPr>
              <w:tabs>
                <w:tab w:val="left" w:pos="360"/>
                <w:tab w:val="left" w:pos="3960"/>
              </w:tabs>
              <w:rPr>
                <w:szCs w:val="24"/>
              </w:rPr>
            </w:pPr>
            <w:r w:rsidRPr="00615936">
              <w:rPr>
                <w:szCs w:val="24"/>
              </w:rPr>
              <w:fldChar w:fldCharType="begin">
                <w:ffData>
                  <w:name w:val="lietas_nr"/>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55532">
              <w:rPr>
                <w:szCs w:val="24"/>
              </w:rPr>
              <w:t>12/A-7</w:t>
            </w:r>
            <w:r w:rsidRPr="00615936">
              <w:rPr>
                <w:szCs w:val="24"/>
              </w:rPr>
              <w:fldChar w:fldCharType="end"/>
            </w:r>
            <w:bookmarkEnd w:id="1"/>
            <w:r w:rsidRPr="00615936">
              <w:rPr>
                <w:szCs w:val="24"/>
              </w:rPr>
              <w:t>/</w:t>
            </w:r>
            <w:bookmarkStart w:id="2" w:name="reg_num"/>
            <w:r w:rsidRPr="00615936">
              <w:rPr>
                <w:szCs w:val="24"/>
              </w:rPr>
              <w:fldChar w:fldCharType="begin">
                <w:ffData>
                  <w:name w:val="reg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317010">
              <w:rPr>
                <w:szCs w:val="24"/>
              </w:rPr>
              <w:t>2462</w:t>
            </w:r>
            <w:r w:rsidRPr="00615936">
              <w:rPr>
                <w:szCs w:val="24"/>
              </w:rPr>
              <w:fldChar w:fldCharType="end"/>
            </w:r>
            <w:bookmarkEnd w:id="2"/>
          </w:p>
        </w:tc>
      </w:tr>
      <w:tr w:rsidR="002C22B9" w:rsidRPr="00615936" w14:paraId="62A1DBB2" w14:textId="77777777" w:rsidTr="009F77B9">
        <w:trPr>
          <w:trHeight w:val="188"/>
        </w:trPr>
        <w:tc>
          <w:tcPr>
            <w:tcW w:w="450" w:type="dxa"/>
            <w:tcBorders>
              <w:top w:val="nil"/>
              <w:left w:val="nil"/>
              <w:bottom w:val="nil"/>
              <w:right w:val="nil"/>
            </w:tcBorders>
          </w:tcPr>
          <w:p w14:paraId="386B2660" w14:textId="77777777" w:rsidR="002C22B9" w:rsidRPr="00615936" w:rsidRDefault="002C22B9" w:rsidP="002C22B9">
            <w:pPr>
              <w:tabs>
                <w:tab w:val="left" w:pos="360"/>
                <w:tab w:val="left" w:pos="3960"/>
              </w:tabs>
              <w:rPr>
                <w:sz w:val="20"/>
              </w:rPr>
            </w:pPr>
          </w:p>
        </w:tc>
        <w:tc>
          <w:tcPr>
            <w:tcW w:w="1785" w:type="dxa"/>
            <w:tcBorders>
              <w:top w:val="single" w:sz="4" w:space="0" w:color="auto"/>
              <w:left w:val="nil"/>
              <w:bottom w:val="nil"/>
              <w:right w:val="nil"/>
            </w:tcBorders>
          </w:tcPr>
          <w:p w14:paraId="01AC0327" w14:textId="77777777" w:rsidR="002C22B9" w:rsidRPr="00615936" w:rsidRDefault="002C22B9" w:rsidP="002C22B9">
            <w:pPr>
              <w:tabs>
                <w:tab w:val="left" w:pos="360"/>
                <w:tab w:val="left" w:pos="3960"/>
              </w:tabs>
              <w:rPr>
                <w:sz w:val="20"/>
              </w:rPr>
            </w:pPr>
          </w:p>
        </w:tc>
        <w:tc>
          <w:tcPr>
            <w:tcW w:w="708" w:type="dxa"/>
            <w:tcBorders>
              <w:top w:val="nil"/>
              <w:left w:val="nil"/>
              <w:bottom w:val="nil"/>
              <w:right w:val="nil"/>
            </w:tcBorders>
          </w:tcPr>
          <w:p w14:paraId="3F018D37" w14:textId="77777777" w:rsidR="002C22B9" w:rsidRPr="00615936" w:rsidRDefault="002C22B9" w:rsidP="002C22B9">
            <w:pPr>
              <w:tabs>
                <w:tab w:val="left" w:pos="360"/>
                <w:tab w:val="left" w:pos="3960"/>
              </w:tabs>
              <w:jc w:val="center"/>
              <w:rPr>
                <w:sz w:val="20"/>
              </w:rPr>
            </w:pPr>
          </w:p>
        </w:tc>
        <w:tc>
          <w:tcPr>
            <w:tcW w:w="2727" w:type="dxa"/>
            <w:tcBorders>
              <w:top w:val="single" w:sz="4" w:space="0" w:color="auto"/>
              <w:left w:val="nil"/>
              <w:bottom w:val="nil"/>
              <w:right w:val="nil"/>
            </w:tcBorders>
          </w:tcPr>
          <w:p w14:paraId="39934A9A" w14:textId="77777777" w:rsidR="002C22B9" w:rsidRPr="00615936" w:rsidRDefault="002C22B9" w:rsidP="002C22B9">
            <w:pPr>
              <w:tabs>
                <w:tab w:val="left" w:pos="360"/>
                <w:tab w:val="left" w:pos="3960"/>
              </w:tabs>
              <w:rPr>
                <w:sz w:val="20"/>
              </w:rPr>
            </w:pPr>
          </w:p>
        </w:tc>
      </w:tr>
      <w:tr w:rsidR="002C22B9" w:rsidRPr="00615936" w14:paraId="3CE27C36" w14:textId="77777777" w:rsidTr="009F77B9">
        <w:tc>
          <w:tcPr>
            <w:tcW w:w="450" w:type="dxa"/>
            <w:tcBorders>
              <w:top w:val="nil"/>
              <w:left w:val="nil"/>
              <w:bottom w:val="nil"/>
              <w:right w:val="nil"/>
            </w:tcBorders>
          </w:tcPr>
          <w:p w14:paraId="76762F20" w14:textId="77777777" w:rsidR="002C22B9" w:rsidRPr="00615936" w:rsidRDefault="002C22B9" w:rsidP="002C22B9">
            <w:pPr>
              <w:tabs>
                <w:tab w:val="left" w:pos="360"/>
                <w:tab w:val="left" w:pos="3960"/>
              </w:tabs>
              <w:rPr>
                <w:sz w:val="20"/>
              </w:rPr>
            </w:pPr>
            <w:r w:rsidRPr="00615936">
              <w:rPr>
                <w:sz w:val="20"/>
              </w:rPr>
              <w:t>Uz</w:t>
            </w:r>
          </w:p>
        </w:tc>
        <w:bookmarkStart w:id="3" w:name="san_dat"/>
        <w:tc>
          <w:tcPr>
            <w:tcW w:w="1785" w:type="dxa"/>
            <w:tcBorders>
              <w:top w:val="nil"/>
              <w:left w:val="nil"/>
              <w:bottom w:val="single" w:sz="4" w:space="0" w:color="auto"/>
              <w:right w:val="nil"/>
            </w:tcBorders>
          </w:tcPr>
          <w:p w14:paraId="2EFADB4F" w14:textId="77777777" w:rsidR="002C22B9" w:rsidRPr="00615936" w:rsidRDefault="002C22B9" w:rsidP="002C22B9">
            <w:pPr>
              <w:tabs>
                <w:tab w:val="left" w:pos="360"/>
                <w:tab w:val="left" w:pos="3960"/>
              </w:tabs>
              <w:rPr>
                <w:szCs w:val="24"/>
              </w:rPr>
            </w:pPr>
            <w:r w:rsidRPr="00615936">
              <w:rPr>
                <w:szCs w:val="24"/>
              </w:rPr>
              <w:fldChar w:fldCharType="begin">
                <w:ffData>
                  <w:name w:val="san_dat"/>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55532">
              <w:rPr>
                <w:szCs w:val="24"/>
              </w:rPr>
              <w:t>15.04.2021</w:t>
            </w:r>
            <w:r w:rsidRPr="00615936">
              <w:rPr>
                <w:szCs w:val="24"/>
              </w:rPr>
              <w:fldChar w:fldCharType="end"/>
            </w:r>
            <w:bookmarkEnd w:id="3"/>
          </w:p>
        </w:tc>
        <w:tc>
          <w:tcPr>
            <w:tcW w:w="708" w:type="dxa"/>
            <w:tcBorders>
              <w:top w:val="nil"/>
              <w:left w:val="nil"/>
              <w:bottom w:val="nil"/>
              <w:right w:val="nil"/>
            </w:tcBorders>
          </w:tcPr>
          <w:p w14:paraId="68BC22C3" w14:textId="77777777" w:rsidR="002C22B9" w:rsidRPr="00615936" w:rsidRDefault="002C22B9" w:rsidP="002C22B9">
            <w:pPr>
              <w:tabs>
                <w:tab w:val="left" w:pos="360"/>
                <w:tab w:val="left" w:pos="3960"/>
              </w:tabs>
              <w:jc w:val="center"/>
              <w:rPr>
                <w:sz w:val="20"/>
              </w:rPr>
            </w:pPr>
            <w:r w:rsidRPr="00615936">
              <w:rPr>
                <w:sz w:val="20"/>
              </w:rPr>
              <w:t>Nr.</w:t>
            </w:r>
          </w:p>
        </w:tc>
        <w:bookmarkStart w:id="4" w:name="san_num"/>
        <w:tc>
          <w:tcPr>
            <w:tcW w:w="2727" w:type="dxa"/>
            <w:tcBorders>
              <w:top w:val="nil"/>
              <w:left w:val="nil"/>
              <w:bottom w:val="single" w:sz="4" w:space="0" w:color="auto"/>
              <w:right w:val="nil"/>
            </w:tcBorders>
          </w:tcPr>
          <w:p w14:paraId="148E9478" w14:textId="77777777" w:rsidR="002C22B9" w:rsidRPr="00615936" w:rsidRDefault="002C22B9" w:rsidP="002C22B9">
            <w:pPr>
              <w:tabs>
                <w:tab w:val="left" w:pos="360"/>
                <w:tab w:val="left" w:pos="3960"/>
              </w:tabs>
              <w:rPr>
                <w:szCs w:val="24"/>
              </w:rPr>
            </w:pPr>
            <w:r w:rsidRPr="00615936">
              <w:rPr>
                <w:szCs w:val="24"/>
              </w:rPr>
              <w:fldChar w:fldCharType="begin">
                <w:ffData>
                  <w:name w:val="san_num"/>
                  <w:enabled/>
                  <w:calcOnExit w:val="0"/>
                  <w:textInput>
                    <w:default w:val="                             "/>
                  </w:textInput>
                </w:ffData>
              </w:fldChar>
            </w:r>
            <w:r w:rsidRPr="00615936">
              <w:rPr>
                <w:szCs w:val="24"/>
              </w:rPr>
              <w:instrText xml:space="preserve"> FORMTEXT </w:instrText>
            </w:r>
            <w:r w:rsidRPr="00615936">
              <w:rPr>
                <w:szCs w:val="24"/>
              </w:rPr>
            </w:r>
            <w:r w:rsidRPr="00615936">
              <w:rPr>
                <w:szCs w:val="24"/>
              </w:rPr>
              <w:fldChar w:fldCharType="separate"/>
            </w:r>
            <w:r w:rsidR="00755532">
              <w:rPr>
                <w:szCs w:val="24"/>
              </w:rPr>
              <w:t>VSS-345, 15  17§</w:t>
            </w:r>
            <w:r w:rsidRPr="00615936">
              <w:rPr>
                <w:szCs w:val="24"/>
              </w:rPr>
              <w:fldChar w:fldCharType="end"/>
            </w:r>
            <w:bookmarkEnd w:id="4"/>
          </w:p>
        </w:tc>
      </w:tr>
    </w:tbl>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tblGrid>
      <w:tr w:rsidR="000C0DD4" w14:paraId="32B3C3B1" w14:textId="77777777" w:rsidTr="000C0DD4">
        <w:trPr>
          <w:jc w:val="right"/>
        </w:trPr>
        <w:tc>
          <w:tcPr>
            <w:tcW w:w="4644" w:type="dxa"/>
          </w:tcPr>
          <w:p w14:paraId="57C3FB6F" w14:textId="77777777" w:rsidR="00A37544" w:rsidRDefault="00A37544" w:rsidP="000C0DD4">
            <w:pPr>
              <w:jc w:val="right"/>
              <w:rPr>
                <w:b/>
                <w:bCs/>
                <w:szCs w:val="24"/>
                <w:lang w:eastAsia="lv-LV"/>
              </w:rPr>
            </w:pPr>
            <w:bookmarkStart w:id="5" w:name="org_nos"/>
          </w:p>
          <w:p w14:paraId="1491A6AC" w14:textId="77777777" w:rsidR="000C0DD4" w:rsidRDefault="00755532" w:rsidP="000C0DD4">
            <w:pPr>
              <w:jc w:val="right"/>
              <w:rPr>
                <w:b/>
                <w:bCs/>
                <w:szCs w:val="24"/>
                <w:lang w:eastAsia="lv-LV"/>
              </w:rPr>
            </w:pPr>
            <w:r>
              <w:rPr>
                <w:b/>
                <w:bCs/>
                <w:szCs w:val="24"/>
                <w:lang w:eastAsia="lv-LV"/>
              </w:rPr>
              <w:t>Tieslietu ministrija</w:t>
            </w:r>
            <w:r w:rsidR="00A37544">
              <w:rPr>
                <w:b/>
                <w:bCs/>
                <w:szCs w:val="24"/>
                <w:lang w:eastAsia="lv-LV"/>
              </w:rPr>
              <w:t>i</w:t>
            </w:r>
          </w:p>
        </w:tc>
      </w:tr>
      <w:bookmarkEnd w:id="5"/>
    </w:tbl>
    <w:p w14:paraId="35672169" w14:textId="77777777" w:rsidR="001F53D9" w:rsidRPr="007F3771" w:rsidRDefault="001F53D9" w:rsidP="004F32A1">
      <w:pPr>
        <w:rPr>
          <w:spacing w:val="4"/>
          <w:sz w:val="20"/>
        </w:rPr>
      </w:pPr>
    </w:p>
    <w:tbl>
      <w:tblPr>
        <w:tblStyle w:val="TableGrid"/>
        <w:tblW w:w="0" w:type="auto"/>
        <w:tblLook w:val="04A0" w:firstRow="1" w:lastRow="0" w:firstColumn="1" w:lastColumn="0" w:noHBand="0" w:noVBand="1"/>
      </w:tblPr>
      <w:tblGrid>
        <w:gridCol w:w="4503"/>
      </w:tblGrid>
      <w:tr w:rsidR="000C0DD4" w14:paraId="6A7E9480" w14:textId="77777777" w:rsidTr="000C0DD4">
        <w:tc>
          <w:tcPr>
            <w:tcW w:w="4503" w:type="dxa"/>
            <w:tcBorders>
              <w:top w:val="nil"/>
              <w:left w:val="nil"/>
              <w:bottom w:val="nil"/>
              <w:right w:val="nil"/>
            </w:tcBorders>
          </w:tcPr>
          <w:p w14:paraId="50799741" w14:textId="77777777" w:rsidR="00A37544" w:rsidRDefault="00A37544" w:rsidP="00C04DED">
            <w:pPr>
              <w:jc w:val="left"/>
              <w:rPr>
                <w:i/>
                <w:iCs/>
                <w:szCs w:val="24"/>
                <w:lang w:eastAsia="lv-LV"/>
              </w:rPr>
            </w:pPr>
          </w:p>
          <w:p w14:paraId="63AC77D8" w14:textId="77777777" w:rsidR="000C0DD4" w:rsidRDefault="00755532" w:rsidP="00C04DED">
            <w:pPr>
              <w:jc w:val="left"/>
              <w:rPr>
                <w:i/>
                <w:iCs/>
                <w:szCs w:val="24"/>
                <w:lang w:eastAsia="lv-LV"/>
              </w:rPr>
            </w:pPr>
            <w:r>
              <w:rPr>
                <w:i/>
                <w:iCs/>
                <w:szCs w:val="24"/>
                <w:lang w:eastAsia="lv-LV"/>
              </w:rPr>
              <w:t xml:space="preserve">Par Ministru kabineta </w:t>
            </w:r>
            <w:r w:rsidR="00A37544">
              <w:rPr>
                <w:i/>
                <w:iCs/>
                <w:szCs w:val="24"/>
                <w:lang w:eastAsia="lv-LV"/>
              </w:rPr>
              <w:t>noteikumu projektu “</w:t>
            </w:r>
            <w:r>
              <w:rPr>
                <w:i/>
                <w:iCs/>
                <w:szCs w:val="24"/>
                <w:lang w:eastAsia="lv-LV"/>
              </w:rPr>
              <w:t>Grozījumi Ministru kabineta 2013.g</w:t>
            </w:r>
            <w:r w:rsidR="00A37544">
              <w:rPr>
                <w:i/>
                <w:iCs/>
                <w:szCs w:val="24"/>
                <w:lang w:eastAsia="lv-LV"/>
              </w:rPr>
              <w:t>ada 2.jūlija noteikumos Nr.364 “</w:t>
            </w:r>
            <w:r>
              <w:rPr>
                <w:i/>
                <w:iCs/>
                <w:szCs w:val="24"/>
                <w:lang w:eastAsia="lv-LV"/>
              </w:rPr>
              <w:t>Noteikumi par zvērināta tiesu izpildītāja</w:t>
            </w:r>
            <w:r w:rsidR="00A37544">
              <w:rPr>
                <w:i/>
                <w:iCs/>
                <w:szCs w:val="24"/>
                <w:lang w:eastAsia="lv-LV"/>
              </w:rPr>
              <w:t xml:space="preserve"> rīcību ar bezmantinieku mantu””</w:t>
            </w:r>
            <w:r>
              <w:rPr>
                <w:i/>
                <w:iCs/>
                <w:szCs w:val="24"/>
                <w:lang w:eastAsia="lv-LV"/>
              </w:rPr>
              <w:t xml:space="preserve"> VSS-345</w:t>
            </w:r>
          </w:p>
        </w:tc>
      </w:tr>
    </w:tbl>
    <w:p w14:paraId="1513D615" w14:textId="77777777" w:rsidR="00E04F00" w:rsidRPr="00615936" w:rsidRDefault="00E04F00" w:rsidP="00C04DED">
      <w:pPr>
        <w:jc w:val="left"/>
        <w:rPr>
          <w:szCs w:val="24"/>
        </w:rPr>
      </w:pPr>
    </w:p>
    <w:p w14:paraId="3508A677" w14:textId="77777777" w:rsidR="00A37544" w:rsidRDefault="00A37544" w:rsidP="00A37544">
      <w:pPr>
        <w:ind w:firstLine="720"/>
        <w:rPr>
          <w:szCs w:val="24"/>
        </w:rPr>
      </w:pPr>
      <w:r>
        <w:rPr>
          <w:szCs w:val="24"/>
        </w:rPr>
        <w:t>Finanšu ministrija</w:t>
      </w:r>
      <w:r w:rsidRPr="004540E0">
        <w:rPr>
          <w:szCs w:val="24"/>
        </w:rPr>
        <w:t xml:space="preserve"> atbi</w:t>
      </w:r>
      <w:r>
        <w:rPr>
          <w:szCs w:val="24"/>
        </w:rPr>
        <w:t>lstoši kompetencei ir izskatījusi</w:t>
      </w:r>
      <w:r w:rsidRPr="004540E0">
        <w:rPr>
          <w:szCs w:val="24"/>
        </w:rPr>
        <w:t xml:space="preserve"> </w:t>
      </w:r>
      <w:r>
        <w:rPr>
          <w:szCs w:val="24"/>
        </w:rPr>
        <w:t xml:space="preserve">Tieslietu ministrijas sagatavoto </w:t>
      </w:r>
      <w:r w:rsidRPr="000268C4">
        <w:rPr>
          <w:szCs w:val="24"/>
        </w:rPr>
        <w:t xml:space="preserve">Ministru kabineta noteikumu projektu “Grozījumi Ministru kabineta 2013.gada 2.jūlija noteikumos Nr.364 “Noteikumi par zvērināta tiesu izpildītāja rīcību ar bezmantinieku mantu”” </w:t>
      </w:r>
      <w:r>
        <w:rPr>
          <w:szCs w:val="24"/>
        </w:rPr>
        <w:t>(turpmāk – noteikumu projekts)</w:t>
      </w:r>
      <w:r w:rsidRPr="004540E0">
        <w:rPr>
          <w:szCs w:val="24"/>
        </w:rPr>
        <w:t>, tā sākotnējās ietekmes</w:t>
      </w:r>
      <w:r>
        <w:rPr>
          <w:szCs w:val="24"/>
        </w:rPr>
        <w:t xml:space="preserve"> novērtējuma ziņojumu (anotāciju</w:t>
      </w:r>
      <w:r w:rsidRPr="004540E0">
        <w:rPr>
          <w:szCs w:val="24"/>
        </w:rPr>
        <w:t>)</w:t>
      </w:r>
      <w:r>
        <w:rPr>
          <w:szCs w:val="24"/>
        </w:rPr>
        <w:t xml:space="preserve"> </w:t>
      </w:r>
      <w:r w:rsidRPr="004540E0">
        <w:rPr>
          <w:szCs w:val="24"/>
        </w:rPr>
        <w:t xml:space="preserve">un </w:t>
      </w:r>
      <w:r>
        <w:rPr>
          <w:szCs w:val="24"/>
        </w:rPr>
        <w:t>atbalsta to tālāku virzību, vienlaikus izsakot šādus iebildumus un priekšlikumus</w:t>
      </w:r>
      <w:r w:rsidRPr="004540E0">
        <w:rPr>
          <w:szCs w:val="24"/>
        </w:rPr>
        <w:t>.</w:t>
      </w:r>
    </w:p>
    <w:p w14:paraId="27E6FDF8" w14:textId="77777777" w:rsidR="00A37544" w:rsidRPr="005729C6" w:rsidRDefault="00A37544" w:rsidP="00A37544">
      <w:pPr>
        <w:ind w:firstLine="720"/>
        <w:rPr>
          <w:szCs w:val="24"/>
          <w:u w:val="single"/>
        </w:rPr>
      </w:pPr>
      <w:r w:rsidRPr="005729C6">
        <w:rPr>
          <w:szCs w:val="24"/>
          <w:u w:val="single"/>
        </w:rPr>
        <w:t>Iebildumi.</w:t>
      </w:r>
    </w:p>
    <w:p w14:paraId="63A9EBA8" w14:textId="77777777" w:rsidR="00A37544" w:rsidRPr="007E7EAA" w:rsidRDefault="00A37544" w:rsidP="00A37544">
      <w:pPr>
        <w:pStyle w:val="ListParagraph"/>
        <w:numPr>
          <w:ilvl w:val="0"/>
          <w:numId w:val="2"/>
        </w:numPr>
        <w:tabs>
          <w:tab w:val="left" w:pos="1276"/>
          <w:tab w:val="left" w:pos="6096"/>
        </w:tabs>
        <w:ind w:left="0" w:firstLine="720"/>
        <w:rPr>
          <w:szCs w:val="24"/>
          <w:lang w:eastAsia="lv-LV"/>
        </w:rPr>
      </w:pPr>
      <w:r w:rsidRPr="007E7EAA">
        <w:rPr>
          <w:rFonts w:eastAsia="Calibri"/>
          <w:szCs w:val="24"/>
        </w:rPr>
        <w:t>Noteikumu projekta 1.2. apakšpunkts paredz papildināt</w:t>
      </w:r>
      <w:r w:rsidRPr="007E7EAA">
        <w:t xml:space="preserve"> </w:t>
      </w:r>
      <w:r w:rsidRPr="007E7EAA">
        <w:rPr>
          <w:rFonts w:eastAsia="Calibri"/>
          <w:szCs w:val="24"/>
        </w:rPr>
        <w:t>Ministru kabineta 2013.gada 2.jūlija noteikumus Nr.364 “Noteikumi par zvērināta tiesu izpildītāja rīcību ar bezmantinieku mantu” (turpmāk – Noteikumi Nr. 364)</w:t>
      </w:r>
      <w:r w:rsidRPr="007E7EAA">
        <w:rPr>
          <w:sz w:val="28"/>
          <w:szCs w:val="28"/>
          <w:lang w:eastAsia="lv-LV"/>
        </w:rPr>
        <w:t xml:space="preserve"> </w:t>
      </w:r>
      <w:r w:rsidRPr="007E7EAA">
        <w:rPr>
          <w:szCs w:val="24"/>
          <w:lang w:eastAsia="lv-LV"/>
        </w:rPr>
        <w:t>ar 6.</w:t>
      </w:r>
      <w:r w:rsidRPr="007E7EAA">
        <w:rPr>
          <w:szCs w:val="24"/>
          <w:vertAlign w:val="superscript"/>
          <w:lang w:eastAsia="lv-LV"/>
        </w:rPr>
        <w:t>1</w:t>
      </w:r>
      <w:r w:rsidRPr="007E7EAA">
        <w:rPr>
          <w:szCs w:val="24"/>
          <w:lang w:eastAsia="lv-LV"/>
        </w:rPr>
        <w:t> punktu šādā redakcijā:</w:t>
      </w:r>
    </w:p>
    <w:p w14:paraId="08C280B3"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 Šajos noteikumos noteikto kārtību rīcībai ar bezmantinieku mantā ietilpstošo nekustamo īpašumu piemēro arī tad, ja nekustamais īpašums nav ierakstīts zemesgrāmatā un Nekustamā īpašuma valsts kadastra informācijas sistēmā mantojuma masas atstājējs ir reģistrēts ar statusu īpašnieks vai tiesiskais valdītājs uz šādu nekustamo īpašumu:</w:t>
      </w:r>
    </w:p>
    <w:p w14:paraId="28CFFF63"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1. dzīvoklis, mākslinieku darbnīca vai neapdzīvojamā telpa, kas iegūta īpašumā līdz dzīvojamās mājas privatizācijai likumā “Par valsts un pašvaldību dzīvojamo māju privatizāciju” noteiktajā kārtībā;</w:t>
      </w:r>
    </w:p>
    <w:p w14:paraId="4E8540D2"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2. telpas ēkā (dzīvojamā mājā vai nedzīvojamā ēkā), uz kuru mantojuma masas atstājējam reģistrētas īpašuma tiesības līdz 1993. gada 5. aprīlim, pamatojoties uz likumu “Par 1937. gada 22. decembra Zemesgrāmatu likuma spēka atjaunošanu un spēkā stāšanās kārtību”;</w:t>
      </w:r>
    </w:p>
    <w:p w14:paraId="6914998B"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3. par kuru likumā noteikta institūcija izsniegusi dokumentu par īpašuma tiesību atjaunošanu mantojuma masas atstājējam uz prettiesiski atsavinātām ēkām (būvēm);</w:t>
      </w:r>
    </w:p>
    <w:p w14:paraId="565360DB"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4. par kuru pieņemts likumā noteiktas institūcijas lēmums par īpašuma tiesību atjaunošanu vai zemes piešķiršanu īpašumā par samaksu mantojuma masas atstājējam;</w:t>
      </w:r>
    </w:p>
    <w:p w14:paraId="57B798F5"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6.</w:t>
      </w:r>
      <w:r w:rsidRPr="007E7EAA">
        <w:rPr>
          <w:szCs w:val="24"/>
          <w:vertAlign w:val="superscript"/>
          <w:lang w:eastAsia="lv-LV"/>
        </w:rPr>
        <w:t>1</w:t>
      </w:r>
      <w:r w:rsidRPr="007E7EAA">
        <w:rPr>
          <w:szCs w:val="24"/>
          <w:lang w:eastAsia="lv-LV"/>
        </w:rPr>
        <w:t>5. attiecībā uz kuru ir spēkā esošs tiesas spriedums par īpašuma tiesību atjaunošanu vai atzīšanu mantojuma masas atstājējam;</w:t>
      </w:r>
    </w:p>
    <w:p w14:paraId="3973E252"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lastRenderedPageBreak/>
        <w:t>6.</w:t>
      </w:r>
      <w:r w:rsidRPr="007E7EAA">
        <w:rPr>
          <w:szCs w:val="24"/>
          <w:vertAlign w:val="superscript"/>
          <w:lang w:eastAsia="lv-LV"/>
        </w:rPr>
        <w:t>1</w:t>
      </w:r>
      <w:r w:rsidRPr="007E7EAA">
        <w:rPr>
          <w:szCs w:val="24"/>
          <w:lang w:eastAsia="lv-LV"/>
        </w:rPr>
        <w:t xml:space="preserve">6. ēku (būvi), kas atrodas uz mantojuma masas atstājējam piederošas zemes un kas reģistrēta, pamatojoties uz Būvniecības informācijas sistēmā esošu informāciju par ēkas (būves) pieņemšanu ekspluatācijā.” </w:t>
      </w:r>
    </w:p>
    <w:p w14:paraId="2DBE2C2C" w14:textId="77777777" w:rsidR="00A37544" w:rsidRPr="007E7EAA" w:rsidRDefault="00A37544" w:rsidP="00A37544">
      <w:pPr>
        <w:tabs>
          <w:tab w:val="left" w:pos="2127"/>
          <w:tab w:val="left" w:pos="6096"/>
        </w:tabs>
        <w:ind w:firstLine="720"/>
        <w:rPr>
          <w:szCs w:val="24"/>
          <w:lang w:eastAsia="lv-LV"/>
        </w:rPr>
      </w:pPr>
      <w:r w:rsidRPr="007E7EAA">
        <w:rPr>
          <w:szCs w:val="24"/>
          <w:lang w:eastAsia="lv-LV"/>
        </w:rPr>
        <w:t>No 6.</w:t>
      </w:r>
      <w:r w:rsidRPr="007E7EAA">
        <w:rPr>
          <w:szCs w:val="24"/>
          <w:vertAlign w:val="superscript"/>
          <w:lang w:eastAsia="lv-LV"/>
        </w:rPr>
        <w:t>1</w:t>
      </w:r>
      <w:r w:rsidRPr="007E7EAA">
        <w:rPr>
          <w:szCs w:val="24"/>
          <w:lang w:eastAsia="lv-LV"/>
        </w:rPr>
        <w:t>4. apakšpunkta redakcijas nav skaidrs, ka viss apakšpunktā minētais attiecas tikai uz zemi. Tādējādi tiesiskai skaidrībai lūdzam precizēt noteikumu projekta 1.2. apakšpunktā ietverto noteikumu 6.</w:t>
      </w:r>
      <w:r w:rsidRPr="007E7EAA">
        <w:rPr>
          <w:szCs w:val="24"/>
          <w:vertAlign w:val="superscript"/>
          <w:lang w:eastAsia="lv-LV"/>
        </w:rPr>
        <w:t>1</w:t>
      </w:r>
      <w:r w:rsidRPr="007E7EAA">
        <w:rPr>
          <w:szCs w:val="24"/>
          <w:lang w:eastAsia="lv-LV"/>
        </w:rPr>
        <w:t>4. apakšpunktu un izteikt to šādā redakcijā:</w:t>
      </w:r>
    </w:p>
    <w:p w14:paraId="73B1594A" w14:textId="77777777" w:rsidR="00A37544" w:rsidRDefault="00A37544" w:rsidP="00A37544">
      <w:pPr>
        <w:tabs>
          <w:tab w:val="left" w:pos="2127"/>
          <w:tab w:val="left" w:pos="6096"/>
        </w:tabs>
        <w:ind w:firstLine="720"/>
        <w:rPr>
          <w:szCs w:val="24"/>
          <w:lang w:eastAsia="lv-LV"/>
        </w:rPr>
      </w:pPr>
      <w:bookmarkStart w:id="6" w:name="_Hlk57913666"/>
      <w:r w:rsidRPr="007E7EAA">
        <w:rPr>
          <w:szCs w:val="24"/>
          <w:bdr w:val="none" w:sz="0" w:space="0" w:color="auto" w:frame="1"/>
          <w:lang w:eastAsia="lv-LV"/>
        </w:rPr>
        <w:t>“6.</w:t>
      </w:r>
      <w:r w:rsidRPr="007E7EAA">
        <w:rPr>
          <w:szCs w:val="24"/>
          <w:bdr w:val="none" w:sz="0" w:space="0" w:color="auto" w:frame="1"/>
          <w:vertAlign w:val="superscript"/>
          <w:lang w:eastAsia="lv-LV"/>
        </w:rPr>
        <w:t>1</w:t>
      </w:r>
      <w:r w:rsidRPr="007E7EAA">
        <w:rPr>
          <w:szCs w:val="24"/>
          <w:bdr w:val="none" w:sz="0" w:space="0" w:color="auto" w:frame="1"/>
          <w:lang w:eastAsia="lv-LV"/>
        </w:rPr>
        <w:t>4.</w:t>
      </w:r>
      <w:bookmarkEnd w:id="6"/>
      <w:r w:rsidRPr="007E7EAA">
        <w:rPr>
          <w:szCs w:val="24"/>
          <w:bdr w:val="none" w:sz="0" w:space="0" w:color="auto" w:frame="1"/>
          <w:lang w:eastAsia="lv-LV"/>
        </w:rPr>
        <w:t> </w:t>
      </w:r>
      <w:r w:rsidRPr="007E7EAA">
        <w:rPr>
          <w:szCs w:val="24"/>
          <w:u w:val="single"/>
          <w:bdr w:val="none" w:sz="0" w:space="0" w:color="auto" w:frame="1"/>
          <w:lang w:eastAsia="lv-LV"/>
        </w:rPr>
        <w:t>zemi</w:t>
      </w:r>
      <w:r w:rsidRPr="007E7EAA">
        <w:rPr>
          <w:szCs w:val="24"/>
          <w:bdr w:val="none" w:sz="0" w:space="0" w:color="auto" w:frame="1"/>
          <w:lang w:eastAsia="lv-LV"/>
        </w:rPr>
        <w:t>,</w:t>
      </w:r>
      <w:r w:rsidRPr="007E7EAA">
        <w:rPr>
          <w:szCs w:val="24"/>
          <w:lang w:eastAsia="lv-LV"/>
        </w:rPr>
        <w:t xml:space="preserve"> par kuru pieņemts likumā noteiktas institūcijas lēmums par īpašuma tiesību atjaunošanu vai zemes piešķiršanu īpašumā par samaksu mantojuma masas atstājējam;”.</w:t>
      </w:r>
    </w:p>
    <w:p w14:paraId="75BB6CC2" w14:textId="77777777" w:rsidR="00A37544" w:rsidRPr="007E7EAA" w:rsidRDefault="00A37544" w:rsidP="00A37544">
      <w:pPr>
        <w:pStyle w:val="ListParagraph"/>
        <w:numPr>
          <w:ilvl w:val="0"/>
          <w:numId w:val="2"/>
        </w:numPr>
        <w:tabs>
          <w:tab w:val="left" w:pos="1276"/>
        </w:tabs>
        <w:ind w:left="0" w:firstLine="720"/>
        <w:rPr>
          <w:szCs w:val="24"/>
          <w:lang w:eastAsia="lv-LV"/>
        </w:rPr>
      </w:pPr>
      <w:r w:rsidRPr="007E7EAA">
        <w:rPr>
          <w:szCs w:val="24"/>
          <w:lang w:eastAsia="lv-LV"/>
        </w:rPr>
        <w:t xml:space="preserve">Noteikumu projekta anotācijas I sadaļas 2. punktā </w:t>
      </w:r>
      <w:r>
        <w:rPr>
          <w:szCs w:val="24"/>
          <w:lang w:eastAsia="lv-LV"/>
        </w:rPr>
        <w:t>(</w:t>
      </w:r>
      <w:r w:rsidRPr="007E7EAA">
        <w:rPr>
          <w:szCs w:val="24"/>
          <w:lang w:eastAsia="lv-LV"/>
        </w:rPr>
        <w:t>5.</w:t>
      </w:r>
      <w:r>
        <w:rPr>
          <w:szCs w:val="24"/>
          <w:lang w:eastAsia="lv-LV"/>
        </w:rPr>
        <w:t>-</w:t>
      </w:r>
      <w:r w:rsidRPr="007E7EAA">
        <w:rPr>
          <w:szCs w:val="24"/>
          <w:lang w:eastAsia="lv-LV"/>
        </w:rPr>
        <w:t xml:space="preserve"> 8.l</w:t>
      </w:r>
      <w:r>
        <w:rPr>
          <w:szCs w:val="24"/>
          <w:lang w:eastAsia="lv-LV"/>
        </w:rPr>
        <w:t>pp.)</w:t>
      </w:r>
      <w:r w:rsidRPr="007E7EAA">
        <w:rPr>
          <w:szCs w:val="24"/>
          <w:lang w:eastAsia="lv-LV"/>
        </w:rPr>
        <w:t xml:space="preserve"> sniegts skaidrojums par noteikumu projekta 1.2. apakšpunktā ietverto 6.</w:t>
      </w:r>
      <w:r w:rsidRPr="007E7EAA">
        <w:rPr>
          <w:szCs w:val="24"/>
          <w:vertAlign w:val="superscript"/>
          <w:lang w:eastAsia="lv-LV"/>
        </w:rPr>
        <w:t>1</w:t>
      </w:r>
      <w:r w:rsidRPr="007E7EAA">
        <w:rPr>
          <w:szCs w:val="24"/>
          <w:lang w:eastAsia="lv-LV"/>
        </w:rPr>
        <w:t>1., 6.</w:t>
      </w:r>
      <w:r w:rsidRPr="007E7EAA">
        <w:rPr>
          <w:szCs w:val="24"/>
          <w:vertAlign w:val="superscript"/>
          <w:lang w:eastAsia="lv-LV"/>
        </w:rPr>
        <w:t>1</w:t>
      </w:r>
      <w:r w:rsidRPr="007E7EAA">
        <w:rPr>
          <w:szCs w:val="24"/>
          <w:lang w:eastAsia="lv-LV"/>
        </w:rPr>
        <w:t>2., 6.</w:t>
      </w:r>
      <w:r w:rsidRPr="007E7EAA">
        <w:rPr>
          <w:szCs w:val="24"/>
          <w:vertAlign w:val="superscript"/>
          <w:lang w:eastAsia="lv-LV"/>
        </w:rPr>
        <w:t>1</w:t>
      </w:r>
      <w:r w:rsidRPr="007E7EAA">
        <w:rPr>
          <w:szCs w:val="24"/>
          <w:lang w:eastAsia="lv-LV"/>
        </w:rPr>
        <w:t>4., 6.</w:t>
      </w:r>
      <w:r w:rsidRPr="007E7EAA">
        <w:rPr>
          <w:szCs w:val="24"/>
          <w:vertAlign w:val="superscript"/>
          <w:lang w:eastAsia="lv-LV"/>
        </w:rPr>
        <w:t>1</w:t>
      </w:r>
      <w:r w:rsidRPr="007E7EAA">
        <w:rPr>
          <w:szCs w:val="24"/>
          <w:lang w:eastAsia="lv-LV"/>
        </w:rPr>
        <w:t>5. un 6.</w:t>
      </w:r>
      <w:r w:rsidRPr="007E7EAA">
        <w:rPr>
          <w:szCs w:val="24"/>
          <w:vertAlign w:val="superscript"/>
          <w:lang w:eastAsia="lv-LV"/>
        </w:rPr>
        <w:t>1</w:t>
      </w:r>
      <w:r w:rsidRPr="007E7EAA">
        <w:rPr>
          <w:szCs w:val="24"/>
          <w:lang w:eastAsia="lv-LV"/>
        </w:rPr>
        <w:t>6. apakšpunktu piemērošanu, bet nav sniegts skaidrojums par 6.</w:t>
      </w:r>
      <w:r w:rsidRPr="007E7EAA">
        <w:rPr>
          <w:szCs w:val="24"/>
          <w:vertAlign w:val="superscript"/>
          <w:lang w:eastAsia="lv-LV"/>
        </w:rPr>
        <w:t>1</w:t>
      </w:r>
      <w:r w:rsidRPr="007E7EAA">
        <w:rPr>
          <w:szCs w:val="24"/>
          <w:lang w:eastAsia="lv-LV"/>
        </w:rPr>
        <w:t>3. apakšpunktu.</w:t>
      </w:r>
    </w:p>
    <w:p w14:paraId="32483880" w14:textId="77777777" w:rsidR="00A37544" w:rsidRPr="007E7EAA" w:rsidRDefault="00A37544" w:rsidP="00A37544">
      <w:pPr>
        <w:tabs>
          <w:tab w:val="left" w:pos="709"/>
        </w:tabs>
        <w:ind w:firstLine="720"/>
        <w:rPr>
          <w:strike/>
          <w:szCs w:val="24"/>
          <w:lang w:eastAsia="lv-LV"/>
        </w:rPr>
      </w:pPr>
      <w:r w:rsidRPr="007E7EAA">
        <w:rPr>
          <w:szCs w:val="24"/>
          <w:lang w:eastAsia="lv-LV"/>
        </w:rPr>
        <w:t>Ņemot vērā minēto, lūdzam papildināt anotācijas I sadaļas 2. punktu ar noteikumu projekta 1.2. apakšpunktā ietvertā 6.</w:t>
      </w:r>
      <w:r w:rsidRPr="007E7EAA">
        <w:rPr>
          <w:szCs w:val="24"/>
          <w:vertAlign w:val="superscript"/>
          <w:lang w:eastAsia="lv-LV"/>
        </w:rPr>
        <w:t>1</w:t>
      </w:r>
      <w:r w:rsidRPr="007E7EAA">
        <w:rPr>
          <w:szCs w:val="24"/>
          <w:lang w:eastAsia="lv-LV"/>
        </w:rPr>
        <w:t xml:space="preserve">3. apakšpunkta piemērošanas skaidrojumu. </w:t>
      </w:r>
    </w:p>
    <w:p w14:paraId="17AC613E" w14:textId="77777777" w:rsidR="00A37544" w:rsidRPr="00856026" w:rsidRDefault="00A37544" w:rsidP="00A37544">
      <w:pPr>
        <w:pStyle w:val="ListParagraph"/>
        <w:numPr>
          <w:ilvl w:val="0"/>
          <w:numId w:val="2"/>
        </w:numPr>
        <w:tabs>
          <w:tab w:val="left" w:pos="1276"/>
          <w:tab w:val="left" w:pos="6096"/>
        </w:tabs>
        <w:ind w:left="0" w:firstLine="720"/>
        <w:rPr>
          <w:szCs w:val="24"/>
          <w:lang w:eastAsia="lv-LV"/>
        </w:rPr>
      </w:pPr>
      <w:r w:rsidRPr="00856026">
        <w:rPr>
          <w:szCs w:val="24"/>
          <w:lang w:eastAsia="lv-LV"/>
        </w:rPr>
        <w:t xml:space="preserve">Noteikumu projekta 1.2. apakšpunktā ietvertais </w:t>
      </w:r>
      <w:r w:rsidRPr="00856026">
        <w:rPr>
          <w:szCs w:val="24"/>
          <w:bdr w:val="none" w:sz="0" w:space="0" w:color="auto" w:frame="1"/>
          <w:lang w:eastAsia="lv-LV"/>
        </w:rPr>
        <w:t>6.</w:t>
      </w:r>
      <w:r w:rsidRPr="00856026">
        <w:rPr>
          <w:szCs w:val="24"/>
          <w:bdr w:val="none" w:sz="0" w:space="0" w:color="auto" w:frame="1"/>
          <w:vertAlign w:val="superscript"/>
          <w:lang w:eastAsia="lv-LV"/>
        </w:rPr>
        <w:t>1</w:t>
      </w:r>
      <w:r w:rsidRPr="00856026">
        <w:rPr>
          <w:szCs w:val="24"/>
          <w:bdr w:val="none" w:sz="0" w:space="0" w:color="auto" w:frame="1"/>
          <w:lang w:eastAsia="lv-LV"/>
        </w:rPr>
        <w:t>1. apakšpunkts attiecas uz dzīvokļiem, mākslinieku darbnīcām vai neapdzīvojamām telpām, kas iegūtas īpašumā līdz dzīvojamās mājas privatizācijai likumā “Par valsts un pašvaldību dzīvojamo māju privatizāciju” noteiktajā kārtībā, t.i., paātrināti privatizēti nekustamie īpašumi, kuriem dokumentu kopums ļauj nekustamos īpašumus ierakstīt zemesgrāmatā bez papildu darbību veikšanas. Turklāt atbilstoši likuma “Par valsts un pašvaldību dzīvojamo māju privatizāciju” 73.</w:t>
      </w:r>
      <w:r w:rsidRPr="00856026">
        <w:rPr>
          <w:szCs w:val="24"/>
          <w:bdr w:val="none" w:sz="0" w:space="0" w:color="auto" w:frame="1"/>
          <w:vertAlign w:val="superscript"/>
          <w:lang w:eastAsia="lv-LV"/>
        </w:rPr>
        <w:t>8</w:t>
      </w:r>
      <w:r w:rsidRPr="00856026">
        <w:rPr>
          <w:szCs w:val="24"/>
          <w:bdr w:val="none" w:sz="0" w:space="0" w:color="auto" w:frame="1"/>
          <w:lang w:eastAsia="lv-LV"/>
        </w:rPr>
        <w:t> panta pirmajai daļai dzīvoklis, mākslinieka darbnīca, neapdzīvojamā telpa un to īpašnieki līdz dzīvojamās mājas privatizācijai tiek reģistrēti Nekustamā īpašuma valsts kadastra reģistrā (turpmāk – Kadastra reģistrs). Kadastra reģistrā reģistrējamas arī ķīlas tiesības, kas nodibinātas uz dzīvokļa īpašumu, un citi dzīvokļa īpašuma apgrūtinājumi. Reģistrācija Kadastra reģistrā pēc juridiskām sekām pielīdzināma reģistrācijai zemesgrāmatā.</w:t>
      </w:r>
    </w:p>
    <w:p w14:paraId="4B1B39BA" w14:textId="77777777" w:rsidR="00A37544" w:rsidRPr="00856026" w:rsidRDefault="00A37544" w:rsidP="00A37544">
      <w:pPr>
        <w:shd w:val="clear" w:color="auto" w:fill="FFFFFF"/>
        <w:tabs>
          <w:tab w:val="left" w:pos="1134"/>
        </w:tabs>
        <w:ind w:firstLine="720"/>
        <w:contextualSpacing/>
        <w:rPr>
          <w:szCs w:val="24"/>
          <w:bdr w:val="none" w:sz="0" w:space="0" w:color="auto" w:frame="1"/>
          <w:lang w:eastAsia="lv-LV"/>
        </w:rPr>
      </w:pPr>
      <w:r w:rsidRPr="00856026">
        <w:rPr>
          <w:szCs w:val="24"/>
          <w:bdr w:val="none" w:sz="0" w:space="0" w:color="auto" w:frame="1"/>
          <w:lang w:eastAsia="lv-LV"/>
        </w:rPr>
        <w:t xml:space="preserve">Anotācijas I sadaļas 2. punktā </w:t>
      </w:r>
      <w:r>
        <w:rPr>
          <w:szCs w:val="24"/>
          <w:bdr w:val="none" w:sz="0" w:space="0" w:color="auto" w:frame="1"/>
          <w:lang w:eastAsia="lv-LV"/>
        </w:rPr>
        <w:t>(9. lpp.</w:t>
      </w:r>
      <w:r w:rsidRPr="00856026">
        <w:rPr>
          <w:szCs w:val="24"/>
          <w:bdr w:val="none" w:sz="0" w:space="0" w:color="auto" w:frame="1"/>
          <w:lang w:eastAsia="lv-LV"/>
        </w:rPr>
        <w:t xml:space="preserve"> 1. rindkopā</w:t>
      </w:r>
      <w:r>
        <w:rPr>
          <w:szCs w:val="24"/>
          <w:bdr w:val="none" w:sz="0" w:space="0" w:color="auto" w:frame="1"/>
          <w:lang w:eastAsia="lv-LV"/>
        </w:rPr>
        <w:t>)</w:t>
      </w:r>
      <w:r w:rsidRPr="00856026">
        <w:rPr>
          <w:szCs w:val="24"/>
          <w:bdr w:val="none" w:sz="0" w:space="0" w:color="auto" w:frame="1"/>
          <w:lang w:eastAsia="lv-LV"/>
        </w:rPr>
        <w:t xml:space="preserve"> ir minēts, ka “Vienlaikus jāatzīmē, ka plānoto kārtību, bezmantinieku mantas procesa ietvaros atsavināt nekustamo īpašumu, kas nav ierakstīts zemesgrāmatā, ir iespējams īstenot tikai tad, ja zvērināts tiesu izpildītājs pārliecinās par dokumenta, kas apliecina nekustamā īpašuma tiesisku iegūšanu, oriģināla esamību vai, ja tas nav pieejams, normatīvajos aktos noformēta dokumenta atvasinājumu.” </w:t>
      </w:r>
    </w:p>
    <w:p w14:paraId="6E8262DE" w14:textId="77777777" w:rsidR="00A37544" w:rsidRPr="00856026" w:rsidRDefault="00A37544" w:rsidP="00A37544">
      <w:pPr>
        <w:shd w:val="clear" w:color="auto" w:fill="FFFFFF"/>
        <w:tabs>
          <w:tab w:val="left" w:pos="1134"/>
        </w:tabs>
        <w:ind w:firstLine="720"/>
        <w:contextualSpacing/>
        <w:rPr>
          <w:szCs w:val="24"/>
          <w:lang w:eastAsia="lv-LV"/>
        </w:rPr>
      </w:pPr>
      <w:r w:rsidRPr="00856026">
        <w:rPr>
          <w:szCs w:val="24"/>
          <w:bdr w:val="none" w:sz="0" w:space="0" w:color="auto" w:frame="1"/>
          <w:lang w:eastAsia="lv-LV"/>
        </w:rPr>
        <w:t>Vēršam uzmanību, ka gadījumos, kad no publiskajiem reģistriem iegūtā informācija satur nepieciešamās ziņas, kas apliecina nekustamā īpašuma tiesisku iegūšanu kādā no šo noteikumu 6.</w:t>
      </w:r>
      <w:r w:rsidRPr="00856026">
        <w:rPr>
          <w:szCs w:val="24"/>
          <w:bdr w:val="none" w:sz="0" w:space="0" w:color="auto" w:frame="1"/>
          <w:vertAlign w:val="superscript"/>
          <w:lang w:eastAsia="lv-LV"/>
        </w:rPr>
        <w:t>1</w:t>
      </w:r>
      <w:r w:rsidRPr="00856026">
        <w:rPr>
          <w:szCs w:val="24"/>
          <w:bdr w:val="none" w:sz="0" w:space="0" w:color="auto" w:frame="1"/>
          <w:lang w:eastAsia="lv-LV"/>
        </w:rPr>
        <w:t xml:space="preserve"> punktā uzskaitītajiem veidiem, </w:t>
      </w:r>
      <w:r>
        <w:rPr>
          <w:szCs w:val="24"/>
          <w:bdr w:val="none" w:sz="0" w:space="0" w:color="auto" w:frame="1"/>
          <w:lang w:eastAsia="lv-LV"/>
        </w:rPr>
        <w:t xml:space="preserve">Finanšu ministrijas ieskatā, </w:t>
      </w:r>
      <w:r w:rsidRPr="00856026">
        <w:rPr>
          <w:szCs w:val="24"/>
          <w:bdr w:val="none" w:sz="0" w:space="0" w:color="auto" w:frame="1"/>
          <w:lang w:eastAsia="lv-LV"/>
        </w:rPr>
        <w:t xml:space="preserve">nav nepieciešamība atkārtoti pārliecināties, vai </w:t>
      </w:r>
      <w:r w:rsidRPr="00856026">
        <w:rPr>
          <w:szCs w:val="24"/>
          <w:lang w:eastAsia="lv-LV"/>
        </w:rPr>
        <w:t>tiek atsavināts tāds nekustamais īpašums, par kura piederību mantojuma atstājējam valsts ir pārliecinājusies, pieprasot</w:t>
      </w:r>
      <w:r w:rsidRPr="00856026">
        <w:rPr>
          <w:szCs w:val="24"/>
        </w:rPr>
        <w:t xml:space="preserve"> </w:t>
      </w:r>
      <w:r w:rsidRPr="00856026">
        <w:rPr>
          <w:szCs w:val="24"/>
          <w:lang w:eastAsia="lv-LV"/>
        </w:rPr>
        <w:t xml:space="preserve">dokumenta, kas apliecina nekustamā īpašuma tiesisku iegūšanu, oriģināla esamību un tādējādi radot papildu administratīvo slogu. </w:t>
      </w:r>
    </w:p>
    <w:p w14:paraId="1B17D7BC" w14:textId="77777777" w:rsidR="00A37544" w:rsidRPr="00856026" w:rsidRDefault="00A37544" w:rsidP="00A37544">
      <w:pPr>
        <w:tabs>
          <w:tab w:val="left" w:pos="1134"/>
          <w:tab w:val="left" w:pos="6096"/>
        </w:tabs>
        <w:ind w:firstLine="720"/>
        <w:contextualSpacing/>
        <w:rPr>
          <w:szCs w:val="24"/>
          <w:lang w:eastAsia="lv-LV"/>
        </w:rPr>
      </w:pPr>
      <w:r w:rsidRPr="00856026">
        <w:rPr>
          <w:szCs w:val="24"/>
          <w:lang w:eastAsia="lv-LV"/>
        </w:rPr>
        <w:t xml:space="preserve">Ievērojot minēto, lūdzam precizēt anotācijas I sadaļas 2. punktā </w:t>
      </w:r>
      <w:r>
        <w:rPr>
          <w:szCs w:val="24"/>
          <w:lang w:eastAsia="lv-LV"/>
        </w:rPr>
        <w:t>(</w:t>
      </w:r>
      <w:r w:rsidRPr="00856026">
        <w:rPr>
          <w:szCs w:val="24"/>
          <w:lang w:eastAsia="lv-LV"/>
        </w:rPr>
        <w:t>9. l</w:t>
      </w:r>
      <w:r>
        <w:rPr>
          <w:szCs w:val="24"/>
          <w:lang w:eastAsia="lv-LV"/>
        </w:rPr>
        <w:t>pp.</w:t>
      </w:r>
      <w:r w:rsidRPr="00856026">
        <w:rPr>
          <w:szCs w:val="24"/>
          <w:lang w:eastAsia="lv-LV"/>
        </w:rPr>
        <w:t xml:space="preserve"> 1. rindkopā</w:t>
      </w:r>
      <w:r>
        <w:rPr>
          <w:szCs w:val="24"/>
          <w:lang w:eastAsia="lv-LV"/>
        </w:rPr>
        <w:t>)</w:t>
      </w:r>
      <w:r w:rsidRPr="00856026">
        <w:rPr>
          <w:szCs w:val="24"/>
          <w:lang w:eastAsia="lv-LV"/>
        </w:rPr>
        <w:t xml:space="preserve"> minēto par plānoto kārtību, kādā bezmantinieku mantas procesa ietvaros atsavināt nekustamo īpašumu, kas nav ierakstīts zemesgrāmatā, paredzot, ka gadījumos, kad par nekustamā īpašuma tiesisku iegūšanu kādā no šo noteikumu 6.</w:t>
      </w:r>
      <w:r w:rsidRPr="00856026">
        <w:rPr>
          <w:szCs w:val="24"/>
          <w:vertAlign w:val="superscript"/>
          <w:lang w:eastAsia="lv-LV"/>
        </w:rPr>
        <w:t>1</w:t>
      </w:r>
      <w:r w:rsidRPr="00856026">
        <w:rPr>
          <w:szCs w:val="24"/>
          <w:lang w:eastAsia="lv-LV"/>
        </w:rPr>
        <w:t> punktā uzskaitītajiem veidiem ir iespējams pārliecināties, ieskatoties kādā no publiskajiem reģistriem, zvērinātam tiesu izpildītājam nav nepieciešams atkārtoti pārliecināties par</w:t>
      </w:r>
      <w:r w:rsidRPr="00856026">
        <w:rPr>
          <w:szCs w:val="24"/>
        </w:rPr>
        <w:t xml:space="preserve"> </w:t>
      </w:r>
      <w:r w:rsidRPr="00856026">
        <w:rPr>
          <w:szCs w:val="24"/>
          <w:lang w:eastAsia="lv-LV"/>
        </w:rPr>
        <w:t>nekustamā īpašuma tiesisku iegūšanu, pieprasot dokumenta, kas apliecina nekustamā īpašuma tiesisku iegūšanu, oriģināla esamību vai, ja tas nav pieejams, normatīvajos aktos noformēta dokumenta atvasinājumu.</w:t>
      </w:r>
    </w:p>
    <w:p w14:paraId="7CBC0F26" w14:textId="77777777" w:rsidR="00A37544" w:rsidRPr="00607E60" w:rsidRDefault="00A37544" w:rsidP="00A37544">
      <w:pPr>
        <w:pStyle w:val="ListParagraph"/>
        <w:numPr>
          <w:ilvl w:val="0"/>
          <w:numId w:val="2"/>
        </w:numPr>
        <w:tabs>
          <w:tab w:val="left" w:pos="1418"/>
          <w:tab w:val="left" w:pos="6096"/>
        </w:tabs>
        <w:ind w:left="0" w:firstLine="720"/>
        <w:rPr>
          <w:szCs w:val="24"/>
          <w:lang w:eastAsia="lv-LV"/>
        </w:rPr>
      </w:pPr>
      <w:r w:rsidRPr="00607E60">
        <w:rPr>
          <w:szCs w:val="24"/>
        </w:rPr>
        <w:t>Noteikum</w:t>
      </w:r>
      <w:r>
        <w:rPr>
          <w:szCs w:val="24"/>
        </w:rPr>
        <w:t>u</w:t>
      </w:r>
      <w:r w:rsidRPr="00607E60">
        <w:rPr>
          <w:szCs w:val="24"/>
        </w:rPr>
        <w:t xml:space="preserve"> Nr. 364 49.punkts nosaka:</w:t>
      </w:r>
      <w:r w:rsidRPr="00607E60">
        <w:rPr>
          <w:rFonts w:eastAsia="Calibri"/>
          <w:szCs w:val="24"/>
        </w:rPr>
        <w:t xml:space="preserve"> “</w:t>
      </w:r>
      <w:r w:rsidRPr="00607E60">
        <w:rPr>
          <w:rFonts w:eastAsia="Calibri"/>
          <w:i/>
          <w:iCs/>
          <w:szCs w:val="24"/>
        </w:rPr>
        <w:t>Ja izsole atzīta par nenotikušu un šajos noteikumos noteiktajā kārtībā zvērinātam tiesu izpildītājam nav iesniegts lūgums rīkot otro izsoli vai izsole atzīta par nenotikušu un zvērināts tiesu izpildītājs secina, ka arī otrajā izsolē nekustamo īpašumu varētu būt neiespējami pārdot vai pārdošanas izmaksas varētu pārsniegt no pārdošanas iegūto naudas summu, zvērināts tiesu izpildītājs nodod nekustamo īpašumu šo noteikumu 14.punktā minētajai institūcijai ar pieņemšanas un nodošanas aktu.”</w:t>
      </w:r>
    </w:p>
    <w:p w14:paraId="559E2C6D" w14:textId="77777777" w:rsidR="00A37544" w:rsidRDefault="00A37544" w:rsidP="00A37544">
      <w:pPr>
        <w:ind w:firstLine="709"/>
        <w:rPr>
          <w:rFonts w:eastAsia="Calibri"/>
          <w:szCs w:val="24"/>
          <w:u w:val="single"/>
        </w:rPr>
      </w:pPr>
      <w:r w:rsidRPr="00B06EA3">
        <w:rPr>
          <w:rFonts w:eastAsia="Calibri"/>
        </w:rPr>
        <w:t xml:space="preserve">Noteikumu projekta 1.15. punktā tiek paredzēts papildināt </w:t>
      </w:r>
      <w:r>
        <w:rPr>
          <w:rFonts w:eastAsia="Calibri"/>
        </w:rPr>
        <w:t>N</w:t>
      </w:r>
      <w:r w:rsidRPr="00B06EA3">
        <w:rPr>
          <w:rFonts w:eastAsia="Calibri"/>
        </w:rPr>
        <w:t>oteikumus Nr.364 ar 48.</w:t>
      </w:r>
      <w:r w:rsidRPr="00B06EA3">
        <w:rPr>
          <w:rFonts w:eastAsia="Calibri"/>
          <w:vertAlign w:val="superscript"/>
        </w:rPr>
        <w:t>1</w:t>
      </w:r>
      <w:r>
        <w:rPr>
          <w:rFonts w:eastAsia="Calibri"/>
        </w:rPr>
        <w:t> </w:t>
      </w:r>
      <w:r w:rsidRPr="00B06EA3">
        <w:rPr>
          <w:rFonts w:eastAsia="Calibri"/>
        </w:rPr>
        <w:t xml:space="preserve">punktu, paredzot iespēju zvērinātam tiesu izpildītājam </w:t>
      </w:r>
      <w:r w:rsidRPr="00B06EA3">
        <w:rPr>
          <w:rFonts w:eastAsia="Calibri"/>
          <w:u w:val="single"/>
        </w:rPr>
        <w:t>rīkot nekustamā īpašuma trešo izsoli par samazinātu izsoles sākumcenu</w:t>
      </w:r>
      <w:r w:rsidRPr="00B06EA3">
        <w:rPr>
          <w:rFonts w:eastAsia="Calibri"/>
        </w:rPr>
        <w:t xml:space="preserve"> (60 procenti no sākumcenas pirmajā izsolē).</w:t>
      </w:r>
    </w:p>
    <w:p w14:paraId="301B22BF" w14:textId="77777777" w:rsidR="00A37544" w:rsidRDefault="00A37544" w:rsidP="00A37544">
      <w:pPr>
        <w:ind w:firstLine="709"/>
        <w:rPr>
          <w:rFonts w:eastAsia="Calibri"/>
          <w:szCs w:val="24"/>
          <w:u w:val="single"/>
        </w:rPr>
      </w:pPr>
      <w:r w:rsidRPr="0091312F">
        <w:rPr>
          <w:rFonts w:eastAsia="Calibri"/>
        </w:rPr>
        <w:lastRenderedPageBreak/>
        <w:t xml:space="preserve">Tāpat </w:t>
      </w:r>
      <w:r w:rsidRPr="00530ABF">
        <w:rPr>
          <w:rFonts w:eastAsia="Calibri"/>
        </w:rPr>
        <w:t>N</w:t>
      </w:r>
      <w:r w:rsidRPr="0091312F">
        <w:rPr>
          <w:rFonts w:eastAsia="Calibri"/>
        </w:rPr>
        <w:t xml:space="preserve">oteikumu projekts paredz izteikt </w:t>
      </w:r>
      <w:r>
        <w:rPr>
          <w:rFonts w:eastAsia="Calibri"/>
        </w:rPr>
        <w:t>N</w:t>
      </w:r>
      <w:r w:rsidRPr="0091312F">
        <w:rPr>
          <w:rFonts w:eastAsia="Calibri"/>
        </w:rPr>
        <w:t>oteikumu Nr.</w:t>
      </w:r>
      <w:r w:rsidRPr="00530ABF">
        <w:rPr>
          <w:rFonts w:eastAsia="Calibri"/>
        </w:rPr>
        <w:t>364</w:t>
      </w:r>
      <w:r w:rsidRPr="0091312F">
        <w:rPr>
          <w:rFonts w:eastAsia="Calibri"/>
        </w:rPr>
        <w:t xml:space="preserve">  49. punktu jaunā redakcij</w:t>
      </w:r>
      <w:r w:rsidRPr="00530ABF">
        <w:rPr>
          <w:rFonts w:eastAsia="Calibri"/>
        </w:rPr>
        <w:t xml:space="preserve">ā: </w:t>
      </w:r>
    </w:p>
    <w:p w14:paraId="1C10C85D" w14:textId="77777777" w:rsidR="00A37544" w:rsidRPr="00B13FA3" w:rsidRDefault="00A37544" w:rsidP="00A37544">
      <w:pPr>
        <w:ind w:firstLine="709"/>
        <w:rPr>
          <w:rFonts w:eastAsia="Calibri"/>
          <w:szCs w:val="24"/>
          <w:u w:val="single"/>
        </w:rPr>
      </w:pPr>
      <w:r w:rsidRPr="000A0608">
        <w:rPr>
          <w:rFonts w:eastAsia="Calibri"/>
          <w:iCs/>
        </w:rPr>
        <w:t xml:space="preserve">“49. Ja pirmā vai otrā izsole atzīta par nenotikušu un šajos noteikumos noteiktajā kārtībā zvērinātam tiesu izpildītājam nav iesniegts lūgums rīkot attiecīgi otro </w:t>
      </w:r>
      <w:r w:rsidRPr="000A0608">
        <w:rPr>
          <w:rFonts w:eastAsia="Calibri"/>
          <w:iCs/>
          <w:u w:val="single"/>
        </w:rPr>
        <w:t>vai trešo izsoli</w:t>
      </w:r>
      <w:r w:rsidRPr="000A0608">
        <w:rPr>
          <w:rFonts w:eastAsia="Calibri"/>
          <w:iCs/>
        </w:rPr>
        <w:t xml:space="preserve"> un zvērināts tiesu izpildītājs secina, ka arī nākamās kārtas izsolē nekustamo īpašumu varētu būt neiespējami pārdot vai pārdošanas izmaksas varētu pārsniegt no pārdošanas iegūto naudas summu, zvērināts tiesu izpildītājs nodod nekustamo īpašumu šo noteikumu 14. punktā minētajai institūcijai ar pieņemšanas un nodošanas aktu.”;”</w:t>
      </w:r>
    </w:p>
    <w:p w14:paraId="4AE35C7E" w14:textId="77777777" w:rsidR="00A37544" w:rsidRDefault="00A37544" w:rsidP="00A37544">
      <w:pPr>
        <w:ind w:firstLine="709"/>
        <w:rPr>
          <w:rFonts w:eastAsia="Calibri"/>
          <w:szCs w:val="24"/>
          <w:u w:val="single"/>
        </w:rPr>
      </w:pPr>
      <w:r>
        <w:rPr>
          <w:rFonts w:eastAsia="Calibri"/>
        </w:rPr>
        <w:t>Atbilstoši</w:t>
      </w:r>
      <w:r w:rsidRPr="0091312F">
        <w:rPr>
          <w:rFonts w:eastAsia="Calibri"/>
        </w:rPr>
        <w:t xml:space="preserve"> Noslēgumu jautājumu nodaļas 138.punkt</w:t>
      </w:r>
      <w:r>
        <w:rPr>
          <w:rFonts w:eastAsia="Calibri"/>
        </w:rPr>
        <w:t xml:space="preserve">am, </w:t>
      </w:r>
      <w:r w:rsidRPr="0091312F">
        <w:rPr>
          <w:rFonts w:eastAsia="Calibri"/>
        </w:rPr>
        <w:t>noteikumu 48.</w:t>
      </w:r>
      <w:r w:rsidRPr="0091312F">
        <w:rPr>
          <w:rFonts w:eastAsia="Calibri"/>
          <w:vertAlign w:val="superscript"/>
        </w:rPr>
        <w:t>1</w:t>
      </w:r>
      <w:r w:rsidRPr="0091312F">
        <w:rPr>
          <w:rFonts w:eastAsia="Calibri"/>
        </w:rPr>
        <w:t xml:space="preserve"> punkts un grozījumi 49.punktā, kas paredz, ka zvērināts tiesu izpildītājs nekustamā īpašuma atsavināšanai var rīkot trešo izsoli, </w:t>
      </w:r>
      <w:r w:rsidRPr="0091312F">
        <w:rPr>
          <w:rFonts w:eastAsia="Calibri"/>
          <w:u w:val="single"/>
        </w:rPr>
        <w:t>stājas spēkā 2021. gada 1. septembrī.</w:t>
      </w:r>
    </w:p>
    <w:p w14:paraId="0F603D45" w14:textId="77777777" w:rsidR="00A37544" w:rsidRDefault="00A37544" w:rsidP="00A37544">
      <w:pPr>
        <w:ind w:firstLine="709"/>
        <w:rPr>
          <w:rFonts w:eastAsia="Calibri"/>
          <w:szCs w:val="24"/>
          <w:u w:val="single"/>
        </w:rPr>
      </w:pPr>
      <w:r w:rsidRPr="00A77E27">
        <w:rPr>
          <w:rFonts w:eastAsia="Calibri"/>
          <w:u w:val="single"/>
        </w:rPr>
        <w:t>Noteikumu projekta anotācijas sadaļā par tiesību akta projekta ietekmi uz spēkā esošo tiesību normu sistēmu ir norādīts, ka Noteikumu projekts šo jomu neskar</w:t>
      </w:r>
      <w:r w:rsidRPr="00A77E27">
        <w:rPr>
          <w:rFonts w:eastAsia="Calibri"/>
        </w:rPr>
        <w:t>.</w:t>
      </w:r>
    </w:p>
    <w:p w14:paraId="7A1B3E54" w14:textId="77777777" w:rsidR="00A37544" w:rsidRDefault="00A37544" w:rsidP="00A37544">
      <w:pPr>
        <w:ind w:firstLine="709"/>
        <w:rPr>
          <w:rFonts w:eastAsia="Calibri"/>
          <w:szCs w:val="24"/>
          <w:u w:val="single"/>
        </w:rPr>
      </w:pPr>
      <w:r>
        <w:rPr>
          <w:rFonts w:eastAsia="Calibri"/>
        </w:rPr>
        <w:t>V</w:t>
      </w:r>
      <w:r w:rsidRPr="00A77E27">
        <w:rPr>
          <w:rFonts w:eastAsia="Calibri"/>
        </w:rPr>
        <w:t>ērš</w:t>
      </w:r>
      <w:r>
        <w:rPr>
          <w:rFonts w:eastAsia="Calibri"/>
        </w:rPr>
        <w:t>am</w:t>
      </w:r>
      <w:r w:rsidRPr="00A77E27">
        <w:rPr>
          <w:rFonts w:eastAsia="Calibri"/>
        </w:rPr>
        <w:t xml:space="preserve"> uzmanību, ka grozījumi Noteikumu Nr.364 49. punktā skar </w:t>
      </w:r>
      <w:r w:rsidRPr="0091312F">
        <w:rPr>
          <w:rFonts w:eastAsia="Calibri"/>
        </w:rPr>
        <w:t>Publiskas personas mantas atsavināšanas likum</w:t>
      </w:r>
      <w:r w:rsidRPr="00A77E27">
        <w:rPr>
          <w:rFonts w:eastAsia="Calibri"/>
        </w:rPr>
        <w:t>a</w:t>
      </w:r>
      <w:r w:rsidRPr="0091312F">
        <w:rPr>
          <w:rFonts w:eastAsia="Calibri"/>
        </w:rPr>
        <w:t xml:space="preserve"> (turpmāk – Atsavināšanas likums) </w:t>
      </w:r>
      <w:r w:rsidRPr="00A77E27">
        <w:rPr>
          <w:rFonts w:eastAsia="Calibri"/>
        </w:rPr>
        <w:t>5.</w:t>
      </w:r>
      <w:r>
        <w:rPr>
          <w:rFonts w:eastAsia="Calibri"/>
        </w:rPr>
        <w:t> </w:t>
      </w:r>
      <w:r w:rsidRPr="00A77E27">
        <w:rPr>
          <w:rFonts w:eastAsia="Calibri"/>
        </w:rPr>
        <w:t>panta vienpadsmitajā daļā noteikto regulējumu.</w:t>
      </w:r>
    </w:p>
    <w:p w14:paraId="02331A8D" w14:textId="77777777" w:rsidR="00A37544" w:rsidRPr="00B06EA3" w:rsidRDefault="00A37544" w:rsidP="00A37544">
      <w:pPr>
        <w:ind w:firstLine="709"/>
        <w:rPr>
          <w:rFonts w:eastAsia="Calibri"/>
          <w:szCs w:val="24"/>
          <w:u w:val="single"/>
        </w:rPr>
      </w:pPr>
      <w:r w:rsidRPr="0091312F">
        <w:rPr>
          <w:rFonts w:eastAsia="Calibri"/>
        </w:rPr>
        <w:t xml:space="preserve">Atsavināšanas likuma 5.panta </w:t>
      </w:r>
      <w:r w:rsidRPr="00A77E27">
        <w:rPr>
          <w:rFonts w:eastAsia="Calibri"/>
        </w:rPr>
        <w:t xml:space="preserve">vienpadsmitā </w:t>
      </w:r>
      <w:r w:rsidRPr="0091312F">
        <w:rPr>
          <w:rFonts w:eastAsia="Calibri"/>
        </w:rPr>
        <w:t>daļ</w:t>
      </w:r>
      <w:r w:rsidRPr="00A77E27">
        <w:rPr>
          <w:rFonts w:eastAsia="Calibri"/>
        </w:rPr>
        <w:t>a</w:t>
      </w:r>
      <w:r w:rsidRPr="0091312F">
        <w:rPr>
          <w:rFonts w:eastAsia="Calibri"/>
        </w:rPr>
        <w:t xml:space="preserve"> no</w:t>
      </w:r>
      <w:r w:rsidRPr="00A77E27">
        <w:rPr>
          <w:rFonts w:eastAsia="Calibri"/>
        </w:rPr>
        <w:t xml:space="preserve">teic, ka </w:t>
      </w:r>
      <w:r w:rsidRPr="0091312F">
        <w:rPr>
          <w:rFonts w:eastAsia="Calibri"/>
        </w:rPr>
        <w:t>Ministru kabineta atļauja nav nepieciešama tāda nekustamā īpašuma pārdošanai, kurš atzīts par bezmantinieku mantu saskaņā ar Civillikuma 416. pantu un attiecībā uz kuru ir pieteiktas kreditoru pretenzijas, bet kura izsole atzīta par nenotikušu un</w:t>
      </w:r>
      <w:r w:rsidRPr="0091312F">
        <w:rPr>
          <w:rFonts w:eastAsia="Calibri"/>
          <w:u w:val="single"/>
        </w:rPr>
        <w:t xml:space="preserve"> zvērinātam tiesu izpildītājam nav normatīvajos aktos noteiktajā kārtībā iesniegts lūgums </w:t>
      </w:r>
      <w:r w:rsidRPr="00110DBD">
        <w:rPr>
          <w:rFonts w:eastAsia="Calibri"/>
          <w:u w:val="single"/>
        </w:rPr>
        <w:t>rīkot otro izsoli</w:t>
      </w:r>
      <w:r w:rsidRPr="0091312F">
        <w:rPr>
          <w:rFonts w:eastAsia="Calibri"/>
          <w:u w:val="single"/>
        </w:rPr>
        <w:t xml:space="preserve"> vai izsole atzīta par nenotikušu un zvērināts tiesu izpildītājs secina, ka arī otrajā izsolē nekustamo īpašumu varētu būt neiespējami pārdot vai pārdošanas izmaksas varētu pārsniegt no pārdošanas iegūto naudas summu.</w:t>
      </w:r>
      <w:r w:rsidRPr="0091312F">
        <w:rPr>
          <w:rFonts w:eastAsia="Calibri"/>
        </w:rPr>
        <w:t xml:space="preserve">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 Šī panta daļa neattiecas uz nekust</w:t>
      </w:r>
      <w:r>
        <w:rPr>
          <w:rFonts w:eastAsia="Calibri"/>
        </w:rPr>
        <w:t>amo īpašumu, kas minēts likuma “</w:t>
      </w:r>
      <w:r w:rsidRPr="0091312F">
        <w:rPr>
          <w:rFonts w:eastAsia="Calibri"/>
        </w:rPr>
        <w:t xml:space="preserve">Par valsts un pašvaldību zemes īpašuma tiesībām un </w:t>
      </w:r>
      <w:r>
        <w:rPr>
          <w:rFonts w:eastAsia="Calibri"/>
        </w:rPr>
        <w:t>to nostiprināšanu zemesgrāmatās”</w:t>
      </w:r>
      <w:r w:rsidRPr="0091312F">
        <w:rPr>
          <w:rFonts w:eastAsia="Calibri"/>
        </w:rPr>
        <w:t xml:space="preserve"> 8. panta otrajā, trešajā, ceturtajā un 4.</w:t>
      </w:r>
      <w:r w:rsidRPr="0091312F">
        <w:rPr>
          <w:rFonts w:eastAsia="Calibri"/>
          <w:vertAlign w:val="superscript"/>
        </w:rPr>
        <w:t xml:space="preserve">1 </w:t>
      </w:r>
      <w:r w:rsidRPr="0091312F">
        <w:rPr>
          <w:rFonts w:eastAsia="Calibri"/>
        </w:rPr>
        <w:t>daļā.”</w:t>
      </w:r>
    </w:p>
    <w:p w14:paraId="7D8E346A" w14:textId="77777777" w:rsidR="00A37544" w:rsidRDefault="00A37544" w:rsidP="00A37544">
      <w:pPr>
        <w:ind w:firstLine="709"/>
        <w:rPr>
          <w:rFonts w:eastAsia="Calibri"/>
          <w:u w:val="single"/>
        </w:rPr>
      </w:pPr>
      <w:r w:rsidRPr="00A77E27">
        <w:rPr>
          <w:rFonts w:eastAsia="Calibri"/>
          <w:u w:val="single"/>
        </w:rPr>
        <w:t xml:space="preserve">Ievērojot iepriekš minēto, lūdzam </w:t>
      </w:r>
      <w:r w:rsidRPr="0091312F">
        <w:rPr>
          <w:rFonts w:eastAsia="Calibri"/>
          <w:u w:val="single"/>
        </w:rPr>
        <w:t>papildinā</w:t>
      </w:r>
      <w:r w:rsidRPr="00A77E27">
        <w:rPr>
          <w:rFonts w:eastAsia="Calibri"/>
          <w:u w:val="single"/>
        </w:rPr>
        <w:t xml:space="preserve">t </w:t>
      </w:r>
      <w:r>
        <w:rPr>
          <w:rFonts w:eastAsia="Calibri"/>
          <w:u w:val="single"/>
        </w:rPr>
        <w:t>n</w:t>
      </w:r>
      <w:r w:rsidRPr="00A77E27">
        <w:rPr>
          <w:rFonts w:eastAsia="Calibri"/>
          <w:u w:val="single"/>
        </w:rPr>
        <w:t xml:space="preserve">oteikumu projekta </w:t>
      </w:r>
      <w:r w:rsidRPr="0091312F">
        <w:rPr>
          <w:rFonts w:eastAsia="Calibri"/>
          <w:u w:val="single"/>
        </w:rPr>
        <w:t>anotācijas IV sadaļ</w:t>
      </w:r>
      <w:r w:rsidRPr="00A77E27">
        <w:rPr>
          <w:rFonts w:eastAsia="Calibri"/>
          <w:u w:val="single"/>
        </w:rPr>
        <w:t>u</w:t>
      </w:r>
      <w:r w:rsidRPr="0091312F">
        <w:rPr>
          <w:rFonts w:eastAsia="Calibri"/>
          <w:u w:val="single"/>
        </w:rPr>
        <w:t xml:space="preserve">, </w:t>
      </w:r>
      <w:r w:rsidRPr="00A77E27">
        <w:rPr>
          <w:rFonts w:eastAsia="Calibri"/>
          <w:u w:val="single"/>
        </w:rPr>
        <w:t>norādot par nepieci</w:t>
      </w:r>
      <w:r>
        <w:rPr>
          <w:rFonts w:eastAsia="Calibri"/>
          <w:u w:val="single"/>
        </w:rPr>
        <w:t>ešamību</w:t>
      </w:r>
      <w:r w:rsidRPr="00A77E27">
        <w:rPr>
          <w:rFonts w:eastAsia="Calibri"/>
          <w:u w:val="single"/>
        </w:rPr>
        <w:t xml:space="preserve"> </w:t>
      </w:r>
      <w:r>
        <w:rPr>
          <w:rFonts w:eastAsia="Calibri"/>
          <w:u w:val="single"/>
        </w:rPr>
        <w:t xml:space="preserve">izstrādāt </w:t>
      </w:r>
      <w:r w:rsidRPr="00A77E27">
        <w:rPr>
          <w:rFonts w:eastAsia="Calibri"/>
          <w:u w:val="single"/>
        </w:rPr>
        <w:t>grozījum</w:t>
      </w:r>
      <w:r>
        <w:rPr>
          <w:rFonts w:eastAsia="Calibri"/>
          <w:u w:val="single"/>
        </w:rPr>
        <w:t>us</w:t>
      </w:r>
      <w:r w:rsidRPr="00A77E27">
        <w:rPr>
          <w:rFonts w:eastAsia="Calibri"/>
          <w:u w:val="single"/>
        </w:rPr>
        <w:t xml:space="preserve"> </w:t>
      </w:r>
      <w:r w:rsidRPr="0091312F">
        <w:rPr>
          <w:rFonts w:eastAsia="Calibri"/>
          <w:u w:val="single"/>
        </w:rPr>
        <w:t>Atsavināšanas likum</w:t>
      </w:r>
      <w:r>
        <w:rPr>
          <w:rFonts w:eastAsia="Calibri"/>
          <w:u w:val="single"/>
        </w:rPr>
        <w:t>ā.</w:t>
      </w:r>
      <w:r w:rsidRPr="00A77E27">
        <w:rPr>
          <w:rFonts w:eastAsia="Calibri"/>
          <w:u w:val="single"/>
        </w:rPr>
        <w:t xml:space="preserve"> Vienlaikus vēršam uzmanību, ka </w:t>
      </w:r>
      <w:r>
        <w:rPr>
          <w:rFonts w:eastAsia="Calibri"/>
          <w:u w:val="single"/>
        </w:rPr>
        <w:t>noteikumu 48.</w:t>
      </w:r>
      <w:r w:rsidRPr="000A0608">
        <w:rPr>
          <w:rFonts w:eastAsia="Calibri"/>
          <w:u w:val="single"/>
          <w:vertAlign w:val="superscript"/>
        </w:rPr>
        <w:t>1</w:t>
      </w:r>
      <w:r>
        <w:rPr>
          <w:rFonts w:eastAsia="Calibri"/>
          <w:u w:val="single"/>
          <w:vertAlign w:val="superscript"/>
        </w:rPr>
        <w:t xml:space="preserve"> </w:t>
      </w:r>
      <w:r>
        <w:rPr>
          <w:rFonts w:eastAsia="Calibri"/>
          <w:u w:val="single"/>
        </w:rPr>
        <w:t xml:space="preserve">punkta un grozījumu 49.punktā spēkā stāšanās laikam būtu jābūt salāgotam ar veicamajiem grozījumiem Atsavināšanas likumā, </w:t>
      </w:r>
      <w:r w:rsidRPr="00A77E27">
        <w:rPr>
          <w:rFonts w:eastAsia="Calibri"/>
          <w:u w:val="single"/>
        </w:rPr>
        <w:t>līdz ar to aicinām Noslēgumu jautājumos paredzēt, ka noteikumu 48.</w:t>
      </w:r>
      <w:r w:rsidRPr="00A77E27">
        <w:rPr>
          <w:rFonts w:eastAsia="Calibri"/>
          <w:u w:val="single"/>
          <w:vertAlign w:val="superscript"/>
        </w:rPr>
        <w:t>1</w:t>
      </w:r>
      <w:r w:rsidRPr="00A77E27">
        <w:rPr>
          <w:rFonts w:eastAsia="Calibri"/>
          <w:u w:val="single"/>
        </w:rPr>
        <w:t xml:space="preserve"> punkts un grozījumi 49.punktā, kas paredz, ka zvērināts tiesu izpildītājs nekustamā īpašuma atsavināšanai var rīkot trešo izsoli, stājas spēkā vienlaikus ar grozījumiem Atsavināšanas likuma 5.panta vienpadsmitajā daļā, vai arī izvērtēt svītrot no Noteikumu projekta regulējumu par trešās izsoles rīkošanu.</w:t>
      </w:r>
    </w:p>
    <w:p w14:paraId="537DB242" w14:textId="77777777" w:rsidR="00A37544" w:rsidRPr="00856026" w:rsidRDefault="00A37544" w:rsidP="00A37544">
      <w:pPr>
        <w:pStyle w:val="ListParagraph"/>
        <w:numPr>
          <w:ilvl w:val="0"/>
          <w:numId w:val="2"/>
        </w:numPr>
        <w:ind w:left="0" w:firstLine="720"/>
        <w:rPr>
          <w:rFonts w:eastAsia="Calibri"/>
          <w:szCs w:val="24"/>
          <w:u w:val="single"/>
        </w:rPr>
      </w:pPr>
      <w:r w:rsidRPr="00856026">
        <w:rPr>
          <w:rFonts w:eastAsia="Calibri"/>
          <w:szCs w:val="22"/>
        </w:rPr>
        <w:t xml:space="preserve">Noteikumu Nr. 364 8., 14. un 49. punktā noteiktajos gadījumos zvērināts tiesu izpildītājs ar pieņemšanas un nodošanas aktu nodod nekustamo īpašumu vienai no noteikumu Nr. 364 14. punktā uzskaitītajām institūcijām. Noteikumos Nr. 364 ietvertais regulējums vērsts uz to, lai situācijā, kad neviens no kreditoriem nav lūdzis rīkot izsoli vai noteiktajā termiņā nav iemaksājis drošības naudu un zvērināts tiesu izpildītājs secina, ka mantu (nekustamo īpašumu) varētu būt neiespējami pārdot vai pārdošanas izmaksas varētu pārsniegt no pārdošanas iegūstamo naudas summu un neviens no kreditoriem nepiesakās paturēt nekustamo īpašumu sev par kadastrālo vērtību, </w:t>
      </w:r>
      <w:r w:rsidRPr="00856026">
        <w:rPr>
          <w:rFonts w:eastAsia="Calibri"/>
          <w:szCs w:val="22"/>
          <w:u w:val="single"/>
        </w:rPr>
        <w:t>zvērināts tiesu izpildītājs neorganizē tās pārdošanu, bet sastāda nodošanas un pieņemšanas aktu, ar kuru nodod nekustamo īpašumu atbildīgajai institūcijai.</w:t>
      </w:r>
      <w:r w:rsidRPr="00856026">
        <w:rPr>
          <w:rFonts w:eastAsia="Calibri"/>
          <w:szCs w:val="22"/>
        </w:rPr>
        <w:t xml:space="preserve"> Proti, iestājoties noteikumu Nr. 364 14. punktā minētajiem apstākļiem, valsts institūcijām, kas uzskaitītas noteikumu Nr. 364 14.1. – 14.7. apakšpunktā ir pienākums pieņemt valstij piekrītošu nekustamu īpašumu. </w:t>
      </w:r>
    </w:p>
    <w:p w14:paraId="182C602D" w14:textId="77777777" w:rsidR="00A37544" w:rsidRDefault="00A37544" w:rsidP="00A37544">
      <w:pPr>
        <w:ind w:firstLine="709"/>
        <w:rPr>
          <w:rFonts w:eastAsia="Calibri"/>
          <w:u w:val="single"/>
        </w:rPr>
      </w:pPr>
      <w:r w:rsidRPr="008A467C">
        <w:rPr>
          <w:rFonts w:eastAsia="Calibri"/>
          <w:szCs w:val="22"/>
        </w:rPr>
        <w:t xml:space="preserve">Vēršam uzmanību uz tendenci, ka arvien biežāk zvērināts tiesu izpildītājs neorganizē bezmantinieka mantas (nekustamā īpašuma ) pārdošanu, proti, </w:t>
      </w:r>
      <w:r w:rsidRPr="008A467C">
        <w:rPr>
          <w:rFonts w:eastAsia="Calibri"/>
          <w:szCs w:val="22"/>
          <w:u w:val="single"/>
        </w:rPr>
        <w:t>izsole netiek rīkota vispār</w:t>
      </w:r>
      <w:r w:rsidRPr="008A467C">
        <w:rPr>
          <w:rFonts w:eastAsia="Calibri"/>
          <w:szCs w:val="22"/>
        </w:rPr>
        <w:t xml:space="preserve">, bet tiek sastādīts nodošanas un pieņemšanas akts, ar kuru nekustamo īpašumu nodod atbildīgajai </w:t>
      </w:r>
      <w:r w:rsidRPr="008A467C">
        <w:rPr>
          <w:rFonts w:eastAsia="Calibri"/>
          <w:szCs w:val="22"/>
        </w:rPr>
        <w:lastRenderedPageBreak/>
        <w:t>institūcijai, tai skaitā Finanšu ministrijai. Pārsvarā šādi īpašumi nav vērtīgi, to kadastrālā vērtība ir zema, līdz ar to lietderīgā rīcība ar šādiem nekustamajiem īpašumiem ir tos iespējami ātrāk virzīt atsavināšanai, lai valstij nebūtu jātērē finanšu līdzekļi to uzturēšanā un administrēšanā.</w:t>
      </w:r>
    </w:p>
    <w:p w14:paraId="79725BC9" w14:textId="77777777" w:rsidR="00A37544" w:rsidRDefault="00A37544" w:rsidP="00A37544">
      <w:pPr>
        <w:ind w:firstLine="709"/>
        <w:rPr>
          <w:rFonts w:eastAsia="Calibri"/>
          <w:u w:val="single"/>
        </w:rPr>
      </w:pPr>
      <w:r w:rsidRPr="00B06EA3">
        <w:rPr>
          <w:rFonts w:eastAsia="Calibri"/>
          <w:szCs w:val="24"/>
        </w:rPr>
        <w:t xml:space="preserve">Lai lēmumu  pieņemšanas procesu par publiskas personas mantas pārdošanu padarītu efektīvāku un mērķi sasniegtu ar mazāko finanšu līdzekļu izlietojumu, kā arī mazinātu administratīvo slogu un izmaksas sagatavojot attiecīgu tiesību aktu projektu par pārdošanu </w:t>
      </w:r>
      <w:r w:rsidRPr="00B06EA3">
        <w:rPr>
          <w:kern w:val="1"/>
          <w:szCs w:val="24"/>
        </w:rPr>
        <w:t xml:space="preserve">ar 2019.gada 1.novembra grozījumiem Atsavināšanas likumā, tika papildināts likuma 5.pants, paredzot izņēmuma gadījumus, kad nekustamā īpašuma atsavināšanai (pārdošanai) nav nepieciešama Ministru kabineta atļauja un </w:t>
      </w:r>
      <w:r w:rsidRPr="00B06EA3">
        <w:rPr>
          <w:kern w:val="1"/>
          <w:szCs w:val="24"/>
          <w:u w:val="single"/>
        </w:rPr>
        <w:t xml:space="preserve">lēmumu par minēto valsts nekustamo īpašumu pārdošanu pieņem attiecīgā nekustamā īpašuma valdītājs.  </w:t>
      </w:r>
      <w:r w:rsidRPr="00B06EA3">
        <w:rPr>
          <w:rFonts w:eastAsia="Calibri"/>
          <w:szCs w:val="22"/>
        </w:rPr>
        <w:t xml:space="preserve">Uz nekustamā īpašuma atsavināšanu, kurš ir </w:t>
      </w:r>
      <w:proofErr w:type="spellStart"/>
      <w:r w:rsidRPr="00B06EA3">
        <w:rPr>
          <w:rFonts w:eastAsia="Calibri"/>
          <w:szCs w:val="22"/>
        </w:rPr>
        <w:t>starpgabals</w:t>
      </w:r>
      <w:proofErr w:type="spellEnd"/>
      <w:r w:rsidRPr="00B06EA3">
        <w:rPr>
          <w:rFonts w:eastAsia="Calibri"/>
          <w:szCs w:val="22"/>
        </w:rPr>
        <w:t xml:space="preserve"> vai kura kadastrālā vērtība ir zem 5000 </w:t>
      </w:r>
      <w:proofErr w:type="spellStart"/>
      <w:r w:rsidRPr="00B06EA3">
        <w:rPr>
          <w:rFonts w:eastAsia="Calibri"/>
          <w:i/>
          <w:iCs/>
          <w:szCs w:val="22"/>
        </w:rPr>
        <w:t>euro</w:t>
      </w:r>
      <w:proofErr w:type="spellEnd"/>
      <w:r w:rsidRPr="00B06EA3">
        <w:rPr>
          <w:rFonts w:eastAsia="Calibri"/>
          <w:szCs w:val="22"/>
        </w:rPr>
        <w:t>, pārdošanu attiecināma Atsavināšanas likuma 5.panta 3.</w:t>
      </w:r>
      <w:r w:rsidRPr="00B06EA3">
        <w:rPr>
          <w:rFonts w:eastAsia="Calibri"/>
          <w:szCs w:val="22"/>
          <w:vertAlign w:val="superscript"/>
        </w:rPr>
        <w:t>3</w:t>
      </w:r>
      <w:r w:rsidRPr="00B06EA3">
        <w:rPr>
          <w:rFonts w:eastAsia="Calibri"/>
          <w:szCs w:val="22"/>
        </w:rPr>
        <w:t xml:space="preserve"> daļas norma. Atsavināšanas likumā ir atsevišķi izdalītas normas attiecībā uz nekustamā īpašuma, kurš atzīts par bezmantinieku vai </w:t>
      </w:r>
      <w:proofErr w:type="spellStart"/>
      <w:r w:rsidRPr="00B06EA3">
        <w:rPr>
          <w:rFonts w:eastAsia="Calibri"/>
          <w:szCs w:val="22"/>
        </w:rPr>
        <w:t>bezīpašnieku</w:t>
      </w:r>
      <w:proofErr w:type="spellEnd"/>
      <w:r w:rsidRPr="00B06EA3">
        <w:rPr>
          <w:rFonts w:eastAsia="Calibri"/>
          <w:szCs w:val="22"/>
        </w:rPr>
        <w:t xml:space="preserve"> mantu un kurš nodots valdījumā saskaņā ar Valsts ieņēmumu dienesta aktu, pārdošanu (5.panta 3</w:t>
      </w:r>
      <w:r w:rsidRPr="00B06EA3">
        <w:rPr>
          <w:rFonts w:eastAsia="Calibri"/>
          <w:szCs w:val="22"/>
          <w:vertAlign w:val="superscript"/>
        </w:rPr>
        <w:t>.2</w:t>
      </w:r>
      <w:r w:rsidRPr="00B06EA3">
        <w:rPr>
          <w:rFonts w:eastAsia="Calibri"/>
          <w:szCs w:val="22"/>
        </w:rPr>
        <w:t xml:space="preserve"> daļa) un uz nekustamā īpašuma, kurš atzīts par bezmantinieku mantu un kurš nodots valdījumā saskaņā ar zvērināta tiesu izpildītāja aktu, pārdošanu (5.panta vienpadsmitā daļa).</w:t>
      </w:r>
    </w:p>
    <w:p w14:paraId="33382C20" w14:textId="77777777" w:rsidR="00A37544" w:rsidRDefault="00A37544" w:rsidP="00A37544">
      <w:pPr>
        <w:ind w:firstLine="709"/>
        <w:rPr>
          <w:rFonts w:eastAsia="Calibri"/>
          <w:u w:val="single"/>
        </w:rPr>
      </w:pPr>
      <w:r w:rsidRPr="00B06EA3">
        <w:rPr>
          <w:rFonts w:eastAsia="Calibri"/>
          <w:szCs w:val="22"/>
        </w:rPr>
        <w:t>Atsavināšanas likuma 5.panta vienpadsmitā daļa noteic, ka Ministru kabineta atļauja nav nepieciešama tāda nekustamā īpašuma pārdošanai, kurš atzīts par bezmantinieku mantu saskaņā ar </w:t>
      </w:r>
      <w:hyperlink r:id="rId8" w:tgtFrame="_blank" w:history="1">
        <w:r w:rsidRPr="00B06EA3">
          <w:rPr>
            <w:rFonts w:eastAsia="Calibri"/>
            <w:szCs w:val="22"/>
          </w:rPr>
          <w:t>Civillikuma</w:t>
        </w:r>
      </w:hyperlink>
      <w:r w:rsidRPr="00B06EA3">
        <w:rPr>
          <w:rFonts w:eastAsia="Calibri"/>
          <w:szCs w:val="22"/>
        </w:rPr>
        <w:t> </w:t>
      </w:r>
      <w:hyperlink r:id="rId9" w:anchor="p416" w:tgtFrame="_blank" w:history="1">
        <w:r w:rsidRPr="00B06EA3">
          <w:rPr>
            <w:rFonts w:eastAsia="Calibri"/>
            <w:szCs w:val="22"/>
          </w:rPr>
          <w:t>416.pantu</w:t>
        </w:r>
      </w:hyperlink>
      <w:r w:rsidRPr="00B06EA3">
        <w:rPr>
          <w:rFonts w:eastAsia="Calibri"/>
          <w:szCs w:val="22"/>
        </w:rPr>
        <w:t xml:space="preserve"> un attiecībā uz kuru ir pieteiktas kreditoru pretenzijas, </w:t>
      </w:r>
      <w:r w:rsidRPr="00B06EA3">
        <w:rPr>
          <w:rFonts w:eastAsia="Calibri"/>
          <w:szCs w:val="22"/>
          <w:u w:val="single"/>
        </w:rPr>
        <w:t>bet kura izsole atzīta par nenotikušu un zvērinātam tiesu izpildītājam nav normatīvajos aktos noteiktajā kārtībā iesniegts lūgums rīkot otro izsoli vai izsole atzīta par nenotikušu un zvērināts tiesu izpildītājs secina, ka arī otrajā izsolē nekustamo īpašumu varētu būt neiespējami pārdot vai pārdošanas izmaksas varētu pārsniegt no pārdošanas iegūto naudas summu.</w:t>
      </w:r>
      <w:r w:rsidRPr="00B06EA3">
        <w:rPr>
          <w:rFonts w:eastAsia="Calibri"/>
          <w:szCs w:val="22"/>
        </w:rPr>
        <w:t xml:space="preserve"> Lēmumu par šāda nekustamā īpašuma pārdošanu pieņem institūcija, kuras valdījumā tas nodots saskaņā ar normatīvajiem aktiem par kārtību, kādā zvērināts tiesu izpildītājs nodrošina bezmantinieku mantas pārvaldīšanu, apsardzību, novērtēšanu, atsavināšanu, kreditoru pretenziju apmierināšanu, realizācijas ieņēmumu sadalīšanu, tai skaitā zvērināta tiesu izpildītāja un zvērināta notāra izdevumu un amata atlīdzības segšanu, vai ieskaitīšanu valsts budžetā, kā arī nosaka drošības naudas apmēru.</w:t>
      </w:r>
    </w:p>
    <w:p w14:paraId="0D019614" w14:textId="77777777" w:rsidR="00A37544" w:rsidRDefault="00A37544" w:rsidP="00A37544">
      <w:pPr>
        <w:ind w:firstLine="709"/>
        <w:rPr>
          <w:rFonts w:eastAsia="Calibri"/>
          <w:u w:val="single"/>
        </w:rPr>
      </w:pPr>
      <w:r>
        <w:rPr>
          <w:rFonts w:eastAsia="Calibri"/>
          <w:szCs w:val="22"/>
        </w:rPr>
        <w:t>Finanšu ministrija</w:t>
      </w:r>
      <w:r w:rsidRPr="00B06EA3">
        <w:rPr>
          <w:rFonts w:eastAsia="Calibri"/>
          <w:szCs w:val="22"/>
        </w:rPr>
        <w:t xml:space="preserve"> ir konstatēj</w:t>
      </w:r>
      <w:r>
        <w:rPr>
          <w:rFonts w:eastAsia="Calibri"/>
          <w:szCs w:val="22"/>
        </w:rPr>
        <w:t>us</w:t>
      </w:r>
      <w:r w:rsidRPr="00B06EA3">
        <w:rPr>
          <w:rFonts w:eastAsia="Calibri"/>
          <w:szCs w:val="22"/>
        </w:rPr>
        <w:t xml:space="preserve">i, ka nekustamo īpašumu atsavināšanai, gadījumos, ja zvērināts tiesu izpildītājs nekustamā īpašuma izsoli nav rīkojis, nav piemērojama Atsavināšanas likuma 5.panta </w:t>
      </w:r>
      <w:r>
        <w:rPr>
          <w:rFonts w:eastAsia="Calibri"/>
          <w:szCs w:val="22"/>
        </w:rPr>
        <w:t xml:space="preserve">vienpadsmitā </w:t>
      </w:r>
      <w:r w:rsidRPr="00B06EA3">
        <w:rPr>
          <w:rFonts w:eastAsia="Calibri"/>
          <w:szCs w:val="22"/>
        </w:rPr>
        <w:t>daļa, ņemot vērā, ka tā nevar tikt atzīta par nenotikušu saskaņā ar Noteikumos Nr. 364 noteikto.</w:t>
      </w:r>
    </w:p>
    <w:p w14:paraId="10E73790" w14:textId="77777777" w:rsidR="00A37544" w:rsidRDefault="00A37544" w:rsidP="00A37544">
      <w:pPr>
        <w:ind w:firstLine="709"/>
        <w:rPr>
          <w:rFonts w:eastAsia="Calibri"/>
          <w:u w:val="single"/>
        </w:rPr>
      </w:pPr>
      <w:r w:rsidRPr="00B06EA3">
        <w:rPr>
          <w:rFonts w:eastAsia="Calibri"/>
          <w:szCs w:val="22"/>
        </w:rPr>
        <w:t>Ņemot vērā, ka tiesību norma attiecībā uz bezmantinieka mantu likumā ir uzskatāma par speciālo normu, šādu nekustamo īpašumu pārdošanai nebūtu piemērojama arī Atsavināšanas likuma 5.panta 3.</w:t>
      </w:r>
      <w:r w:rsidRPr="00B06EA3">
        <w:rPr>
          <w:rFonts w:eastAsia="Calibri"/>
          <w:szCs w:val="22"/>
          <w:vertAlign w:val="superscript"/>
        </w:rPr>
        <w:t>3</w:t>
      </w:r>
      <w:r w:rsidRPr="00B06EA3">
        <w:rPr>
          <w:rFonts w:eastAsia="Calibri"/>
          <w:szCs w:val="22"/>
        </w:rPr>
        <w:t xml:space="preserve"> daļa (</w:t>
      </w:r>
      <w:r w:rsidRPr="00B06EA3">
        <w:rPr>
          <w:rFonts w:eastAsia="Calibri"/>
          <w:i/>
          <w:iCs/>
          <w:szCs w:val="22"/>
        </w:rPr>
        <w:t xml:space="preserve">nekustamais īpašums ir </w:t>
      </w:r>
      <w:proofErr w:type="spellStart"/>
      <w:r w:rsidRPr="00B06EA3">
        <w:rPr>
          <w:rFonts w:eastAsia="Calibri"/>
          <w:i/>
          <w:iCs/>
          <w:szCs w:val="22"/>
        </w:rPr>
        <w:t>starpgabals</w:t>
      </w:r>
      <w:proofErr w:type="spellEnd"/>
      <w:r w:rsidRPr="00B06EA3">
        <w:rPr>
          <w:rFonts w:eastAsia="Calibri"/>
          <w:i/>
          <w:iCs/>
          <w:szCs w:val="22"/>
        </w:rPr>
        <w:t xml:space="preserve"> vai tā kadastrālā vērtība ir zem 5000 </w:t>
      </w:r>
      <w:proofErr w:type="spellStart"/>
      <w:r w:rsidRPr="00B06EA3">
        <w:rPr>
          <w:rFonts w:eastAsia="Calibri"/>
          <w:i/>
          <w:iCs/>
          <w:szCs w:val="22"/>
        </w:rPr>
        <w:t>euro</w:t>
      </w:r>
      <w:proofErr w:type="spellEnd"/>
      <w:r w:rsidRPr="00B06EA3">
        <w:rPr>
          <w:rFonts w:eastAsia="Calibri"/>
          <w:szCs w:val="22"/>
        </w:rPr>
        <w:t>). Šādos gadījumos nekustamos īpašumus ir jāturpina virzīt atsavināšanai, saņemot Ministru kabineta atļauju, līdz ar to  nav sasniegts ar grozījumiem Atsavināšanas likumā paredzētais mērķis.</w:t>
      </w:r>
    </w:p>
    <w:p w14:paraId="114B4EEE" w14:textId="77777777" w:rsidR="00A37544" w:rsidRDefault="00A37544" w:rsidP="00A37544">
      <w:pPr>
        <w:ind w:firstLine="709"/>
        <w:rPr>
          <w:rFonts w:eastAsia="Calibri"/>
          <w:szCs w:val="22"/>
          <w:u w:val="single"/>
        </w:rPr>
      </w:pPr>
      <w:r w:rsidRPr="00B06EA3">
        <w:rPr>
          <w:rFonts w:eastAsia="Calibri"/>
          <w:szCs w:val="22"/>
          <w:u w:val="single"/>
        </w:rPr>
        <w:t xml:space="preserve">Ievērojot iepriekš minēto, aicinām Tieslietu ministriju izvērtēt iespēju </w:t>
      </w:r>
      <w:r>
        <w:rPr>
          <w:rFonts w:eastAsia="Calibri"/>
          <w:szCs w:val="22"/>
          <w:u w:val="single"/>
        </w:rPr>
        <w:t>papildināt n</w:t>
      </w:r>
      <w:r w:rsidRPr="00B06EA3">
        <w:rPr>
          <w:rFonts w:eastAsia="Calibri"/>
          <w:szCs w:val="22"/>
          <w:u w:val="single"/>
        </w:rPr>
        <w:t>oteikumu projektu, nosakot, ka izsole atzīstama par nenotikušu arī gadījumos, kad zvērināts tiesu izpildītājs to nav rīkojis (Noteikumu Nr.364 12.punkts), attiecīgais kreditors nav paturējis nekustamo īpašumu par kadastrālo vērtību un manta nododama attiecīgajai Noteikumu Nr.364 14.punktā noteiktajai institūcijai.</w:t>
      </w:r>
    </w:p>
    <w:p w14:paraId="111FBC1B" w14:textId="77777777" w:rsidR="00A37544" w:rsidRDefault="00A37544" w:rsidP="00A37544">
      <w:pPr>
        <w:ind w:firstLine="709"/>
        <w:rPr>
          <w:rFonts w:eastAsia="Calibri"/>
          <w:szCs w:val="22"/>
          <w:u w:val="single"/>
        </w:rPr>
      </w:pPr>
    </w:p>
    <w:p w14:paraId="098021C4" w14:textId="77777777" w:rsidR="00A37544" w:rsidRPr="006A7D65" w:rsidRDefault="00A37544" w:rsidP="00A37544">
      <w:pPr>
        <w:ind w:firstLine="709"/>
        <w:rPr>
          <w:rFonts w:eastAsia="Calibri"/>
          <w:szCs w:val="22"/>
          <w:u w:val="single"/>
        </w:rPr>
      </w:pPr>
      <w:r w:rsidRPr="006A7D65">
        <w:rPr>
          <w:rFonts w:eastAsia="Calibri"/>
          <w:szCs w:val="22"/>
          <w:u w:val="single"/>
        </w:rPr>
        <w:t>Priekšlikumi.</w:t>
      </w:r>
    </w:p>
    <w:p w14:paraId="139C1A66" w14:textId="77777777" w:rsidR="00A37544" w:rsidRPr="006A7D65" w:rsidRDefault="00A37544" w:rsidP="00A37544">
      <w:pPr>
        <w:pStyle w:val="ListParagraph"/>
        <w:widowControl w:val="0"/>
        <w:numPr>
          <w:ilvl w:val="0"/>
          <w:numId w:val="1"/>
        </w:numPr>
        <w:suppressAutoHyphens/>
        <w:rPr>
          <w:b/>
          <w:kern w:val="1"/>
          <w:szCs w:val="24"/>
        </w:rPr>
      </w:pPr>
      <w:r w:rsidRPr="006A7D65">
        <w:rPr>
          <w:kern w:val="1"/>
          <w:szCs w:val="24"/>
        </w:rPr>
        <w:t xml:space="preserve">Noteikumu projekts paredz papildināt  Noteikumu Nr.364 </w:t>
      </w:r>
      <w:r w:rsidRPr="006A7D65">
        <w:rPr>
          <w:rFonts w:eastAsia="Calibri"/>
          <w:szCs w:val="24"/>
        </w:rPr>
        <w:t>ar 3.</w:t>
      </w:r>
      <w:r w:rsidRPr="006A7D65">
        <w:rPr>
          <w:rFonts w:eastAsia="Calibri"/>
          <w:szCs w:val="24"/>
          <w:vertAlign w:val="superscript"/>
        </w:rPr>
        <w:t>1</w:t>
      </w:r>
      <w:r w:rsidRPr="006A7D65">
        <w:rPr>
          <w:rFonts w:eastAsia="Calibri"/>
          <w:szCs w:val="24"/>
        </w:rPr>
        <w:t xml:space="preserve"> punktu šādā redakcijā:</w:t>
      </w:r>
    </w:p>
    <w:p w14:paraId="66AD6563" w14:textId="77777777" w:rsidR="00A37544" w:rsidRPr="00B13FA3" w:rsidRDefault="00A37544" w:rsidP="00A37544">
      <w:pPr>
        <w:widowControl w:val="0"/>
        <w:suppressAutoHyphens/>
        <w:ind w:firstLine="709"/>
        <w:rPr>
          <w:b/>
          <w:kern w:val="1"/>
          <w:szCs w:val="24"/>
        </w:rPr>
      </w:pPr>
      <w:r w:rsidRPr="000A0608">
        <w:rPr>
          <w:rFonts w:eastAsia="Calibri"/>
          <w:iCs/>
          <w:szCs w:val="24"/>
        </w:rPr>
        <w:t>“3.</w:t>
      </w:r>
      <w:r w:rsidRPr="000A0608">
        <w:rPr>
          <w:rFonts w:eastAsia="Calibri"/>
          <w:iCs/>
          <w:szCs w:val="24"/>
          <w:vertAlign w:val="superscript"/>
        </w:rPr>
        <w:t>1</w:t>
      </w:r>
      <w:r w:rsidRPr="000A0608">
        <w:rPr>
          <w:rFonts w:eastAsia="Calibri"/>
          <w:iCs/>
          <w:szCs w:val="24"/>
        </w:rPr>
        <w:t xml:space="preserve"> Kreditors, uz kuru attiecināmas sankcijas saskaņā ar Starptautisko un Latvijas Republikas nacionālo sankciju likumu (turpmāk – sankcijas), nevar izmantot šajos noteikumos kreditoram piešķirtās tiesības un saņemt sava prasījuma apmierinājumu no bezmantinieku mantas atsavināšanā gūtajiem ienākumiem, izņemot gadījumus, kad šāda rīcība neradītu kreditoram ar sankcijām noteikto prasību pārkāpumu, apiešanu vai izvairīšanos no to izpildes. Minētais nav šķērslis amata darbību veikšanai lietā par bezmantinieku mantu citu kreditoru pretenziju apmierināšanai. Ja kreditors, uz kuru attiecināmas sankcijas, ir vienīgais aktā norādītais kreditors, </w:t>
      </w:r>
      <w:r w:rsidRPr="000A0608">
        <w:rPr>
          <w:rFonts w:eastAsia="Calibri"/>
          <w:iCs/>
          <w:szCs w:val="24"/>
        </w:rPr>
        <w:lastRenderedPageBreak/>
        <w:t>zvērināts tiesu izpildītājs lietu par bezmantinieku mantu pabeidz un bezmantinieku mantu šajos noteikumos noteiktajā kārtībā nodod attiecīgajai valsts institūcijai.”</w:t>
      </w:r>
    </w:p>
    <w:p w14:paraId="251778DC" w14:textId="77777777" w:rsidR="00A37544" w:rsidRPr="001D7F03" w:rsidRDefault="00A37544" w:rsidP="00A37544">
      <w:pPr>
        <w:ind w:firstLine="709"/>
        <w:rPr>
          <w:kern w:val="1"/>
          <w:szCs w:val="24"/>
        </w:rPr>
      </w:pPr>
      <w:r w:rsidRPr="006A7D65">
        <w:rPr>
          <w:kern w:val="1"/>
          <w:szCs w:val="24"/>
        </w:rPr>
        <w:t>Lūdzam izvērtēt vārdu “valsts institūcija” lietošanu šajā punktā, jo saskaņā ar Noteikumu Nr.364 14.7.apakšpunktu atsevišķos gadījumos tiesu izpildītājs nodod nekustamo īpašumu SIA</w:t>
      </w:r>
      <w:r>
        <w:rPr>
          <w:kern w:val="1"/>
          <w:szCs w:val="24"/>
        </w:rPr>
        <w:t> </w:t>
      </w:r>
      <w:r w:rsidRPr="006A7D65">
        <w:rPr>
          <w:kern w:val="1"/>
          <w:szCs w:val="24"/>
        </w:rPr>
        <w:t xml:space="preserve">“Publisko aktīvu pārvaldītājs </w:t>
      </w:r>
      <w:proofErr w:type="spellStart"/>
      <w:r w:rsidRPr="006A7D65">
        <w:rPr>
          <w:kern w:val="1"/>
          <w:szCs w:val="24"/>
        </w:rPr>
        <w:t>Posse</w:t>
      </w:r>
      <w:r w:rsidRPr="001D7F03">
        <w:rPr>
          <w:kern w:val="1"/>
          <w:szCs w:val="24"/>
        </w:rPr>
        <w:t>ssor</w:t>
      </w:r>
      <w:proofErr w:type="spellEnd"/>
      <w:r w:rsidRPr="001D7F03">
        <w:rPr>
          <w:kern w:val="1"/>
          <w:szCs w:val="24"/>
        </w:rPr>
        <w:t>”</w:t>
      </w:r>
      <w:r w:rsidRPr="006A7D65">
        <w:rPr>
          <w:kern w:val="1"/>
          <w:szCs w:val="24"/>
        </w:rPr>
        <w:t>, kas nav valsts institūcija.</w:t>
      </w:r>
    </w:p>
    <w:p w14:paraId="108446FF" w14:textId="77777777" w:rsidR="00A37544" w:rsidRPr="00607E60" w:rsidRDefault="00A37544" w:rsidP="00A37544">
      <w:pPr>
        <w:pStyle w:val="ListParagraph"/>
        <w:numPr>
          <w:ilvl w:val="0"/>
          <w:numId w:val="1"/>
        </w:numPr>
        <w:tabs>
          <w:tab w:val="left" w:pos="1134"/>
        </w:tabs>
        <w:ind w:left="0" w:firstLine="709"/>
        <w:rPr>
          <w:kern w:val="1"/>
          <w:szCs w:val="24"/>
          <w:u w:val="single"/>
        </w:rPr>
      </w:pPr>
      <w:r w:rsidRPr="00C9729E">
        <w:rPr>
          <w:kern w:val="1"/>
          <w:szCs w:val="24"/>
        </w:rPr>
        <w:t>Lūdzam precizēt anotācijas III sadaļas tabulas ailē “izmaiņas, salīdzinot ar vidēja termiņa budžeta ietvaru” norādītos gadus, kā arī, ja noteikumu projektam nav ietekmes uz valsts budžetu, tad 1.-5.punktos jānorāda “0”.</w:t>
      </w:r>
    </w:p>
    <w:p w14:paraId="3DA46B85" w14:textId="77777777" w:rsidR="00A37544" w:rsidRPr="00A77E27" w:rsidRDefault="00A37544" w:rsidP="00A37544">
      <w:pPr>
        <w:ind w:firstLine="709"/>
        <w:rPr>
          <w:rFonts w:eastAsia="Calibri"/>
          <w:u w:val="single"/>
        </w:rPr>
      </w:pPr>
    </w:p>
    <w:p w14:paraId="67BDA0B6" w14:textId="77777777" w:rsidR="00A37544" w:rsidRPr="00607E60" w:rsidRDefault="00A37544" w:rsidP="00A37544">
      <w:pPr>
        <w:ind w:firstLine="709"/>
        <w:rPr>
          <w:rFonts w:eastAsia="Calibri"/>
        </w:rPr>
      </w:pPr>
      <w:r w:rsidRPr="00607E60">
        <w:rPr>
          <w:rFonts w:eastAsia="Calibri"/>
        </w:rPr>
        <w:t xml:space="preserve">Vienlaikus lūdzam organizēt sanāksmi, lai turpinātu Tieslietu ministrijas izstrādātā likumprojekta “Grozījumi Komerclikumā” (VSS-112) saskaņošanas laikā uzsākto diskusiju saistībā ar kapitālsabiedrībām, kuras ir izslēgtas no Latvijas Republikas Uzņēmumu reģistra atbilstoši Komerclikuma 317. pantam, – par </w:t>
      </w:r>
      <w:proofErr w:type="spellStart"/>
      <w:r w:rsidRPr="00607E60">
        <w:rPr>
          <w:rFonts w:eastAsia="Calibri"/>
        </w:rPr>
        <w:t>problēmjautājumiem</w:t>
      </w:r>
      <w:proofErr w:type="spellEnd"/>
      <w:r w:rsidRPr="00607E60">
        <w:rPr>
          <w:rFonts w:eastAsia="Calibri"/>
        </w:rPr>
        <w:t>, kas saistīti ar gadījumiem, kad kapitālsabiedrībai pāri palikušajai mantai ir fiksētas kreditoru pretenzijas (komercķīlas, hipotēkas vai citas tiesību ierobežojuma vai tiesību nodrošinājuma atzīmes).</w:t>
      </w:r>
    </w:p>
    <w:p w14:paraId="70CB4653" w14:textId="77777777" w:rsidR="006D6710" w:rsidRPr="00615936" w:rsidRDefault="006D6710" w:rsidP="007F3771">
      <w:pPr>
        <w:rPr>
          <w:szCs w:val="24"/>
        </w:rPr>
      </w:pPr>
    </w:p>
    <w:p w14:paraId="4155C0AF" w14:textId="77777777" w:rsidR="006D6710" w:rsidRPr="00615936" w:rsidRDefault="006D6710" w:rsidP="00615936">
      <w:pPr>
        <w:ind w:firstLine="709"/>
        <w:rPr>
          <w:szCs w:val="24"/>
        </w:rPr>
      </w:pPr>
    </w:p>
    <w:p w14:paraId="11CDCE06" w14:textId="77777777" w:rsidR="006D6710" w:rsidRPr="00615936" w:rsidRDefault="006D6710" w:rsidP="007F3771">
      <w:pPr>
        <w:rPr>
          <w:szCs w:val="24"/>
        </w:rPr>
      </w:pPr>
    </w:p>
    <w:p w14:paraId="1F65647E" w14:textId="77777777" w:rsidR="00557B49" w:rsidRPr="00615936" w:rsidRDefault="00557B49" w:rsidP="007F3771">
      <w:pPr>
        <w:rPr>
          <w:szCs w:val="24"/>
        </w:rPr>
      </w:pPr>
    </w:p>
    <w:p w14:paraId="0FCD04FA" w14:textId="77777777" w:rsidR="003F2252" w:rsidRPr="00615936" w:rsidRDefault="003F2252" w:rsidP="007F3771">
      <w:pPr>
        <w:rPr>
          <w:szCs w:val="24"/>
        </w:rPr>
      </w:pP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1984"/>
        <w:gridCol w:w="2977"/>
      </w:tblGrid>
      <w:tr w:rsidR="00AA6DC1" w:rsidRPr="00615936" w14:paraId="54EEC27A" w14:textId="77777777" w:rsidTr="00AA6DC1">
        <w:tc>
          <w:tcPr>
            <w:tcW w:w="4395" w:type="dxa"/>
          </w:tcPr>
          <w:p w14:paraId="47449E12" w14:textId="77777777" w:rsidR="00AA6DC1" w:rsidRPr="00615936" w:rsidRDefault="00755532" w:rsidP="007F3771">
            <w:pPr>
              <w:rPr>
                <w:szCs w:val="24"/>
              </w:rPr>
            </w:pPr>
            <w:r>
              <w:rPr>
                <w:szCs w:val="24"/>
              </w:rPr>
              <w:t>Administrācijas vadītāja</w:t>
            </w:r>
          </w:p>
        </w:tc>
        <w:tc>
          <w:tcPr>
            <w:tcW w:w="1984" w:type="dxa"/>
          </w:tcPr>
          <w:p w14:paraId="2E70FBAC" w14:textId="77777777" w:rsidR="00AA6DC1" w:rsidRDefault="00AA6DC1" w:rsidP="00AA6DC1">
            <w:pPr>
              <w:jc w:val="center"/>
              <w:rPr>
                <w:szCs w:val="24"/>
              </w:rPr>
            </w:pPr>
            <w:bookmarkStart w:id="7" w:name="edoc_info2"/>
            <w:r>
              <w:rPr>
                <w:szCs w:val="24"/>
              </w:rPr>
              <w:t>(paraksts*)</w:t>
            </w:r>
            <w:bookmarkEnd w:id="7"/>
          </w:p>
        </w:tc>
        <w:tc>
          <w:tcPr>
            <w:tcW w:w="2977" w:type="dxa"/>
            <w:vAlign w:val="bottom"/>
          </w:tcPr>
          <w:p w14:paraId="3F73B4E0" w14:textId="77777777" w:rsidR="00AA6DC1" w:rsidRPr="00615936" w:rsidRDefault="00755532" w:rsidP="00483407">
            <w:pPr>
              <w:jc w:val="right"/>
              <w:rPr>
                <w:szCs w:val="24"/>
              </w:rPr>
            </w:pPr>
            <w:proofErr w:type="spellStart"/>
            <w:r>
              <w:rPr>
                <w:szCs w:val="24"/>
              </w:rPr>
              <w:t>I.Braunfelde</w:t>
            </w:r>
            <w:proofErr w:type="spellEnd"/>
          </w:p>
        </w:tc>
      </w:tr>
      <w:tr w:rsidR="00AA6DC1" w:rsidRPr="00615936" w14:paraId="503B96DF" w14:textId="77777777" w:rsidTr="00AA6DC1">
        <w:tc>
          <w:tcPr>
            <w:tcW w:w="4395" w:type="dxa"/>
          </w:tcPr>
          <w:p w14:paraId="66A798A3" w14:textId="77777777" w:rsidR="00AA6DC1" w:rsidRPr="00615936" w:rsidRDefault="00AA6DC1" w:rsidP="007F3771">
            <w:pPr>
              <w:rPr>
                <w:szCs w:val="24"/>
              </w:rPr>
            </w:pPr>
          </w:p>
        </w:tc>
        <w:tc>
          <w:tcPr>
            <w:tcW w:w="1984" w:type="dxa"/>
          </w:tcPr>
          <w:p w14:paraId="469788A5" w14:textId="77777777" w:rsidR="00AA6DC1" w:rsidRPr="00615936" w:rsidRDefault="00AA6DC1" w:rsidP="000C0DD4">
            <w:pPr>
              <w:jc w:val="right"/>
              <w:rPr>
                <w:szCs w:val="24"/>
              </w:rPr>
            </w:pPr>
          </w:p>
        </w:tc>
        <w:tc>
          <w:tcPr>
            <w:tcW w:w="2977" w:type="dxa"/>
            <w:vAlign w:val="bottom"/>
          </w:tcPr>
          <w:p w14:paraId="3E61FD34" w14:textId="77777777" w:rsidR="00AA6DC1" w:rsidRPr="00615936" w:rsidRDefault="00AA6DC1" w:rsidP="000C0DD4">
            <w:pPr>
              <w:jc w:val="right"/>
              <w:rPr>
                <w:szCs w:val="24"/>
              </w:rPr>
            </w:pPr>
          </w:p>
        </w:tc>
      </w:tr>
    </w:tbl>
    <w:tbl>
      <w:tblPr>
        <w:tblW w:w="8647" w:type="dxa"/>
        <w:tblLook w:val="04A0" w:firstRow="1" w:lastRow="0" w:firstColumn="1" w:lastColumn="0" w:noHBand="0" w:noVBand="1"/>
      </w:tblPr>
      <w:tblGrid>
        <w:gridCol w:w="8647"/>
      </w:tblGrid>
      <w:tr w:rsidR="002D6CB4" w14:paraId="3F4D5A5C" w14:textId="77777777" w:rsidTr="00AA6DC1">
        <w:trPr>
          <w:cantSplit/>
          <w:trHeight w:val="615"/>
        </w:trPr>
        <w:tc>
          <w:tcPr>
            <w:tcW w:w="8647" w:type="dxa"/>
          </w:tcPr>
          <w:p w14:paraId="1917C0D5" w14:textId="77777777" w:rsidR="002D6CB4" w:rsidRPr="00AA6DC1" w:rsidRDefault="00AA6DC1" w:rsidP="00AA6DC1">
            <w:pPr>
              <w:pStyle w:val="BodyTextIndent"/>
              <w:tabs>
                <w:tab w:val="left" w:pos="8397"/>
              </w:tabs>
              <w:ind w:left="0"/>
              <w:rPr>
                <w:sz w:val="24"/>
                <w:szCs w:val="24"/>
              </w:rPr>
            </w:pPr>
            <w:bookmarkStart w:id="8" w:name="edoc_info" w:colFirst="0" w:colLast="0"/>
            <w:r w:rsidRPr="00AA6DC1">
              <w:rPr>
                <w:sz w:val="24"/>
                <w:szCs w:val="24"/>
              </w:rPr>
              <w:t>*Dokuments ir parakstīts ar drošu elektronisko parakstu</w:t>
            </w:r>
          </w:p>
        </w:tc>
      </w:tr>
      <w:bookmarkEnd w:id="8"/>
    </w:tbl>
    <w:p w14:paraId="159050FE" w14:textId="77777777" w:rsidR="00826D51" w:rsidRDefault="00826D51" w:rsidP="007F3771">
      <w:pPr>
        <w:rPr>
          <w:sz w:val="20"/>
        </w:rPr>
      </w:pPr>
    </w:p>
    <w:p w14:paraId="5C7FE462" w14:textId="77777777" w:rsidR="00A37544" w:rsidRDefault="00A37544" w:rsidP="00A37544">
      <w:pPr>
        <w:ind w:firstLine="142"/>
        <w:rPr>
          <w:sz w:val="20"/>
        </w:rPr>
      </w:pPr>
      <w:proofErr w:type="spellStart"/>
      <w:r>
        <w:rPr>
          <w:sz w:val="20"/>
        </w:rPr>
        <w:t>Aperčoje</w:t>
      </w:r>
      <w:proofErr w:type="spellEnd"/>
      <w:r>
        <w:rPr>
          <w:sz w:val="20"/>
        </w:rPr>
        <w:t xml:space="preserve"> 67095451 </w:t>
      </w:r>
    </w:p>
    <w:p w14:paraId="316961B6" w14:textId="77777777" w:rsidR="00A37544" w:rsidRDefault="004F1503" w:rsidP="00A37544">
      <w:pPr>
        <w:ind w:firstLine="142"/>
        <w:rPr>
          <w:rStyle w:val="Hyperlink"/>
          <w:sz w:val="20"/>
        </w:rPr>
      </w:pPr>
      <w:hyperlink r:id="rId10" w:history="1">
        <w:r w:rsidR="00A37544" w:rsidRPr="00E80C74">
          <w:rPr>
            <w:rStyle w:val="Hyperlink"/>
            <w:sz w:val="20"/>
          </w:rPr>
          <w:t>andzela.apercoje@fm.gov.lv</w:t>
        </w:r>
      </w:hyperlink>
    </w:p>
    <w:p w14:paraId="32D6625A" w14:textId="77777777" w:rsidR="00A37544" w:rsidRDefault="00A37544" w:rsidP="00A37544">
      <w:pPr>
        <w:ind w:firstLine="142"/>
        <w:rPr>
          <w:rStyle w:val="Hyperlink"/>
          <w:sz w:val="20"/>
        </w:rPr>
      </w:pPr>
    </w:p>
    <w:p w14:paraId="6587EB5D" w14:textId="77777777" w:rsidR="00A37544" w:rsidRPr="00C9729E" w:rsidRDefault="00A37544" w:rsidP="00A37544">
      <w:pPr>
        <w:ind w:firstLine="142"/>
        <w:rPr>
          <w:rStyle w:val="Hyperlink"/>
          <w:color w:val="auto"/>
          <w:sz w:val="20"/>
          <w:u w:val="none"/>
        </w:rPr>
      </w:pPr>
      <w:proofErr w:type="spellStart"/>
      <w:r w:rsidRPr="00C9729E">
        <w:rPr>
          <w:rStyle w:val="Hyperlink"/>
          <w:color w:val="auto"/>
          <w:sz w:val="20"/>
          <w:u w:val="none"/>
        </w:rPr>
        <w:t>Stempere</w:t>
      </w:r>
      <w:proofErr w:type="spellEnd"/>
      <w:r w:rsidRPr="00C9729E">
        <w:rPr>
          <w:rStyle w:val="Hyperlink"/>
          <w:color w:val="auto"/>
          <w:sz w:val="20"/>
          <w:u w:val="none"/>
        </w:rPr>
        <w:t xml:space="preserve"> 67095468</w:t>
      </w:r>
    </w:p>
    <w:p w14:paraId="2A5D325E" w14:textId="77777777" w:rsidR="00A37544" w:rsidRDefault="004F1503" w:rsidP="00A37544">
      <w:pPr>
        <w:ind w:firstLine="142"/>
        <w:rPr>
          <w:rStyle w:val="Hyperlink"/>
          <w:sz w:val="20"/>
        </w:rPr>
      </w:pPr>
      <w:hyperlink r:id="rId11" w:history="1">
        <w:r w:rsidR="00A37544" w:rsidRPr="00C81146">
          <w:rPr>
            <w:rStyle w:val="Hyperlink"/>
            <w:sz w:val="20"/>
          </w:rPr>
          <w:t>daira.stempere@fm.gov.lv</w:t>
        </w:r>
      </w:hyperlink>
    </w:p>
    <w:p w14:paraId="546202FC" w14:textId="77777777" w:rsidR="00A37544" w:rsidRDefault="00A37544" w:rsidP="00A37544">
      <w:pPr>
        <w:ind w:firstLine="142"/>
        <w:rPr>
          <w:rStyle w:val="Hyperlink"/>
          <w:sz w:val="20"/>
        </w:rPr>
      </w:pPr>
    </w:p>
    <w:p w14:paraId="4F195849" w14:textId="77777777" w:rsidR="00A37544" w:rsidRPr="00B21F51" w:rsidRDefault="00A37544" w:rsidP="00A37544">
      <w:pPr>
        <w:ind w:firstLine="142"/>
        <w:rPr>
          <w:sz w:val="20"/>
        </w:rPr>
      </w:pPr>
      <w:proofErr w:type="spellStart"/>
      <w:r w:rsidRPr="00B21F51">
        <w:rPr>
          <w:sz w:val="20"/>
        </w:rPr>
        <w:t>Beilo</w:t>
      </w:r>
      <w:proofErr w:type="spellEnd"/>
      <w:r w:rsidRPr="00B21F51">
        <w:rPr>
          <w:sz w:val="20"/>
        </w:rPr>
        <w:t xml:space="preserve"> 67120189</w:t>
      </w:r>
    </w:p>
    <w:p w14:paraId="1A5CC116" w14:textId="77777777" w:rsidR="00A37544" w:rsidRDefault="004F1503" w:rsidP="00A37544">
      <w:pPr>
        <w:ind w:firstLine="142"/>
        <w:rPr>
          <w:sz w:val="20"/>
        </w:rPr>
      </w:pPr>
      <w:hyperlink r:id="rId12" w:history="1">
        <w:r w:rsidR="00A37544" w:rsidRPr="00C81146">
          <w:rPr>
            <w:rStyle w:val="Hyperlink"/>
            <w:sz w:val="20"/>
          </w:rPr>
          <w:t>Alona.Beilo@vid.gov.lv</w:t>
        </w:r>
      </w:hyperlink>
      <w:r w:rsidR="00A37544">
        <w:rPr>
          <w:sz w:val="20"/>
        </w:rPr>
        <w:t xml:space="preserve"> </w:t>
      </w:r>
    </w:p>
    <w:p w14:paraId="7368374A" w14:textId="77777777" w:rsidR="00A37544" w:rsidRDefault="00A37544" w:rsidP="00A37544">
      <w:pPr>
        <w:ind w:firstLine="142"/>
        <w:rPr>
          <w:sz w:val="20"/>
        </w:rPr>
      </w:pPr>
    </w:p>
    <w:p w14:paraId="001E0AF9" w14:textId="77777777" w:rsidR="00A37544" w:rsidRDefault="00A37544" w:rsidP="00A37544">
      <w:pPr>
        <w:ind w:firstLine="142"/>
        <w:rPr>
          <w:sz w:val="20"/>
        </w:rPr>
      </w:pPr>
      <w:proofErr w:type="spellStart"/>
      <w:r>
        <w:rPr>
          <w:sz w:val="20"/>
        </w:rPr>
        <w:t>Bružas</w:t>
      </w:r>
      <w:proofErr w:type="spellEnd"/>
      <w:r>
        <w:rPr>
          <w:sz w:val="20"/>
        </w:rPr>
        <w:t xml:space="preserve"> 29264491</w:t>
      </w:r>
    </w:p>
    <w:p w14:paraId="1B9793F4" w14:textId="77777777" w:rsidR="000C0DD4" w:rsidRPr="006D6710" w:rsidRDefault="004F1503" w:rsidP="00A37544">
      <w:pPr>
        <w:ind w:firstLine="142"/>
        <w:rPr>
          <w:sz w:val="20"/>
        </w:rPr>
      </w:pPr>
      <w:hyperlink r:id="rId13" w:history="1">
        <w:r w:rsidR="00A37544" w:rsidRPr="00C81146">
          <w:rPr>
            <w:rStyle w:val="Hyperlink"/>
            <w:sz w:val="20"/>
          </w:rPr>
          <w:t>Vita.Bruzas@vni.lv</w:t>
        </w:r>
      </w:hyperlink>
    </w:p>
    <w:sectPr w:rsidR="000C0DD4" w:rsidRPr="006D6710" w:rsidSect="002C22B9">
      <w:headerReference w:type="even" r:id="rId14"/>
      <w:headerReference w:type="default" r:id="rId15"/>
      <w:footerReference w:type="default" r:id="rId16"/>
      <w:headerReference w:type="first" r:id="rId17"/>
      <w:footerReference w:type="first" r:id="rId18"/>
      <w:pgSz w:w="11907" w:h="16840" w:code="9"/>
      <w:pgMar w:top="567" w:right="850"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B84A7" w14:textId="77777777" w:rsidR="00985C1D" w:rsidRDefault="00985C1D">
      <w:r>
        <w:separator/>
      </w:r>
    </w:p>
  </w:endnote>
  <w:endnote w:type="continuationSeparator" w:id="0">
    <w:p w14:paraId="16159B82" w14:textId="77777777" w:rsidR="00985C1D" w:rsidRDefault="0098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722951"/>
      <w:docPartObj>
        <w:docPartGallery w:val="Page Numbers (Bottom of Page)"/>
        <w:docPartUnique/>
      </w:docPartObj>
    </w:sdtPr>
    <w:sdtEndPr/>
    <w:sdtContent>
      <w:p w14:paraId="259A7EC3" w14:textId="77777777" w:rsidR="0015384D" w:rsidRDefault="00DC1310">
        <w:pPr>
          <w:pStyle w:val="Footer"/>
          <w:jc w:val="center"/>
        </w:pPr>
        <w:r w:rsidRPr="00557B49">
          <w:rPr>
            <w:sz w:val="24"/>
            <w:szCs w:val="24"/>
          </w:rPr>
          <w:fldChar w:fldCharType="begin"/>
        </w:r>
        <w:r w:rsidR="009E200C" w:rsidRPr="00557B49">
          <w:rPr>
            <w:sz w:val="24"/>
            <w:szCs w:val="24"/>
          </w:rPr>
          <w:instrText xml:space="preserve"> PAGE   \* MERGEFORMAT </w:instrText>
        </w:r>
        <w:r w:rsidRPr="00557B49">
          <w:rPr>
            <w:sz w:val="24"/>
            <w:szCs w:val="24"/>
          </w:rPr>
          <w:fldChar w:fldCharType="separate"/>
        </w:r>
        <w:r w:rsidR="00801182">
          <w:rPr>
            <w:noProof/>
            <w:sz w:val="24"/>
            <w:szCs w:val="24"/>
          </w:rPr>
          <w:t>3</w:t>
        </w:r>
        <w:r w:rsidRPr="00557B49">
          <w:rPr>
            <w:sz w:val="24"/>
            <w:szCs w:val="24"/>
          </w:rPr>
          <w:fldChar w:fldCharType="end"/>
        </w:r>
      </w:p>
    </w:sdtContent>
  </w:sdt>
  <w:p w14:paraId="32FDC92B" w14:textId="77777777" w:rsidR="00A37544" w:rsidRDefault="00A37544" w:rsidP="00A37544">
    <w:pPr>
      <w:pStyle w:val="Footer"/>
    </w:pPr>
    <w:r>
      <w:t>FMAtz_300421_VSS_345</w:t>
    </w:r>
  </w:p>
  <w:p w14:paraId="4D1B57A7" w14:textId="77777777" w:rsidR="0015384D" w:rsidRDefault="001538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C62480" w14:textId="77777777" w:rsidR="0015384D" w:rsidRDefault="0015384D">
    <w:pPr>
      <w:pStyle w:val="Footer"/>
      <w:jc w:val="center"/>
    </w:pPr>
  </w:p>
  <w:p w14:paraId="16732449" w14:textId="77777777" w:rsidR="00A37544" w:rsidRDefault="00A37544" w:rsidP="00A37544">
    <w:pPr>
      <w:pStyle w:val="Footer"/>
    </w:pPr>
    <w:r>
      <w:t>FMAtz_300421_VSS_345</w:t>
    </w:r>
  </w:p>
  <w:p w14:paraId="5A43B991" w14:textId="77777777" w:rsidR="0015384D" w:rsidRDefault="00153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13B28A" w14:textId="77777777" w:rsidR="00985C1D" w:rsidRDefault="00985C1D">
      <w:r>
        <w:separator/>
      </w:r>
    </w:p>
  </w:footnote>
  <w:footnote w:type="continuationSeparator" w:id="0">
    <w:p w14:paraId="3C5FE7C6" w14:textId="77777777" w:rsidR="00985C1D" w:rsidRDefault="00985C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74184" w14:textId="77777777" w:rsidR="00F33DBE" w:rsidRDefault="00DC1310">
    <w:pPr>
      <w:pStyle w:val="Header"/>
      <w:framePr w:wrap="around" w:vAnchor="text" w:hAnchor="margin" w:xAlign="center" w:y="1"/>
      <w:rPr>
        <w:rStyle w:val="PageNumber"/>
      </w:rPr>
    </w:pPr>
    <w:r>
      <w:rPr>
        <w:rStyle w:val="PageNumber"/>
      </w:rPr>
      <w:fldChar w:fldCharType="begin"/>
    </w:r>
    <w:r w:rsidR="00F33DBE">
      <w:rPr>
        <w:rStyle w:val="PageNumber"/>
      </w:rPr>
      <w:instrText xml:space="preserve">PAGE  </w:instrText>
    </w:r>
    <w:r>
      <w:rPr>
        <w:rStyle w:val="PageNumber"/>
      </w:rPr>
      <w:fldChar w:fldCharType="separate"/>
    </w:r>
    <w:r w:rsidR="0015384D">
      <w:rPr>
        <w:rStyle w:val="PageNumber"/>
        <w:noProof/>
      </w:rPr>
      <w:t>2</w:t>
    </w:r>
    <w:r>
      <w:rPr>
        <w:rStyle w:val="PageNumber"/>
      </w:rPr>
      <w:fldChar w:fldCharType="end"/>
    </w:r>
  </w:p>
  <w:p w14:paraId="04C91E94" w14:textId="77777777" w:rsidR="00F33DBE" w:rsidRDefault="00F33D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1DC47" w14:textId="77777777" w:rsidR="00F33DBE" w:rsidRDefault="00F33DBE" w:rsidP="008C508E">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F8D07" w14:textId="77777777" w:rsidR="002C22B9" w:rsidRDefault="002C22B9">
    <w:pPr>
      <w:pStyle w:val="Header"/>
    </w:pPr>
  </w:p>
  <w:p w14:paraId="4472115F" w14:textId="77777777" w:rsidR="002C22B9" w:rsidRDefault="002C22B9">
    <w:pPr>
      <w:pStyle w:val="Header"/>
    </w:pPr>
  </w:p>
  <w:p w14:paraId="67113C75" w14:textId="77777777" w:rsidR="002C22B9" w:rsidRDefault="002C22B9">
    <w:pPr>
      <w:pStyle w:val="Header"/>
    </w:pPr>
  </w:p>
  <w:p w14:paraId="1B493145" w14:textId="77777777" w:rsidR="002C22B9" w:rsidRDefault="0037045B" w:rsidP="002C22B9">
    <w:pPr>
      <w:pStyle w:val="Header"/>
      <w:tabs>
        <w:tab w:val="clear" w:pos="4153"/>
        <w:tab w:val="clear" w:pos="8306"/>
      </w:tabs>
    </w:pPr>
    <w:r>
      <w:rPr>
        <w:noProof/>
        <w:lang w:eastAsia="lv-LV"/>
      </w:rPr>
      <mc:AlternateContent>
        <mc:Choice Requires="wps">
          <w:drawing>
            <wp:anchor distT="0" distB="0" distL="114300" distR="114300" simplePos="0" relativeHeight="251660288" behindDoc="1" locked="0" layoutInCell="1" allowOverlap="1" wp14:anchorId="61AE9FFD" wp14:editId="033C8961">
              <wp:simplePos x="0" y="0"/>
              <wp:positionH relativeFrom="page">
                <wp:posOffset>1066800</wp:posOffset>
              </wp:positionH>
              <wp:positionV relativeFrom="page">
                <wp:posOffset>2030730</wp:posOffset>
              </wp:positionV>
              <wp:extent cx="5943600" cy="314325"/>
              <wp:effectExtent l="0" t="0" r="0" b="9525"/>
              <wp:wrapNone/>
              <wp:docPr id="11"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2AFD24" w14:textId="77777777"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1026" type="#_x0000_t202" style="position:absolute;left:0;text-align:left;margin-left:84pt;margin-top:159.9pt;width:468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" filled="f" stroked="f">
              <v:textbox inset="0,0,0,0">
                <w:txbxContent>
                  <w:p w:rsidR="002C22B9" w:rsidRDefault="002C22B9" w:rsidP="002C22B9">
                    <w:pPr>
                      <w:spacing w:line="194" w:lineRule="exact"/>
                      <w:ind w:left="20" w:right="-45"/>
                      <w:jc w:val="center"/>
                      <w:rPr>
                        <w:sz w:val="17"/>
                        <w:szCs w:val="17"/>
                      </w:rPr>
                    </w:pPr>
                    <w:r w:rsidRPr="00A41446">
                      <w:rPr>
                        <w:color w:val="231F20"/>
                        <w:sz w:val="17"/>
                        <w:szCs w:val="17"/>
                      </w:rPr>
                      <w:t>Smilšu iela 1, Rīga, LV-1919, tālr. 67095</w:t>
                    </w:r>
                    <w:r>
                      <w:rPr>
                        <w:color w:val="231F20"/>
                        <w:sz w:val="17"/>
                        <w:szCs w:val="17"/>
                      </w:rPr>
                      <w:t>689</w:t>
                    </w:r>
                    <w:r w:rsidRPr="00A41446">
                      <w:rPr>
                        <w:color w:val="231F20"/>
                        <w:sz w:val="17"/>
                        <w:szCs w:val="17"/>
                      </w:rPr>
                      <w:t xml:space="preserve">, </w:t>
                    </w:r>
                    <w:r>
                      <w:rPr>
                        <w:color w:val="231F20"/>
                        <w:sz w:val="17"/>
                        <w:szCs w:val="17"/>
                      </w:rPr>
                      <w:t xml:space="preserve">67095578, </w:t>
                    </w:r>
                    <w:r w:rsidRPr="00A41446">
                      <w:rPr>
                        <w:color w:val="231F20"/>
                        <w:sz w:val="17"/>
                        <w:szCs w:val="17"/>
                      </w:rPr>
                      <w:t>fakss 67095503, e-pasts pasts@fm.gov.lv, www.fm.gov.lv</w:t>
                    </w:r>
                  </w:p>
                </w:txbxContent>
              </v:textbox>
              <w10:wrap anchorx="page" anchory="page"/>
            </v:shape>
          </w:pict>
        </mc:Fallback>
      </mc:AlternateContent>
    </w:r>
    <w:r w:rsidR="002C22B9" w:rsidRPr="002C22B9">
      <w:rPr>
        <w:noProof/>
        <w:lang w:eastAsia="lv-LV"/>
      </w:rPr>
      <w:drawing>
        <wp:anchor distT="0" distB="0" distL="114300" distR="114300" simplePos="0" relativeHeight="251661312" behindDoc="1" locked="0" layoutInCell="1" allowOverlap="1" wp14:anchorId="446EF7E6" wp14:editId="70290C18">
          <wp:simplePos x="0" y="0"/>
          <wp:positionH relativeFrom="margin">
            <wp:posOffset>75565</wp:posOffset>
          </wp:positionH>
          <wp:positionV relativeFrom="page">
            <wp:posOffset>711200</wp:posOffset>
          </wp:positionV>
          <wp:extent cx="5914390" cy="1065600"/>
          <wp:effectExtent l="0" t="0" r="0" b="0"/>
          <wp:wrapNone/>
          <wp:docPr id="8" name="Picture 8" descr="C:\Users\it-skrod\Desktop\veidlapas_jaunas\paraugi\vienkrasu_header_veidlapa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skrod\Desktop\veidlapas_jaunas\paraugi\vienkrasu_header_veidlapa_22.png"/>
                  <pic:cNvPicPr>
                    <a:picLocks noChangeAspect="1" noChangeArrowheads="1"/>
                  </pic:cNvPicPr>
                </pic:nvPicPr>
                <pic:blipFill rotWithShape="1">
                  <a:blip r:embed="rId1" cstate="print">
                    <a:extLst>
                      <a:ext uri="{BEBA8EAE-BF5A-486C-A8C5-ECC9F3942E4B}">
                        <a14:imgProps xmlns:a14="http://schemas.microsoft.com/office/drawing/2010/main">
                          <a14:imgLayer r:embed="rId2">
                            <a14:imgEffect>
                              <a14:brightnessContrast contrast="100000"/>
                            </a14:imgEffect>
                          </a14:imgLayer>
                        </a14:imgProps>
                      </a:ext>
                      <a:ext uri="{28A0092B-C50C-407E-A947-70E740481C1C}">
                        <a14:useLocalDpi xmlns:a14="http://schemas.microsoft.com/office/drawing/2010/main" val="0"/>
                      </a:ext>
                    </a:extLst>
                  </a:blip>
                  <a:srcRect l="1249" t="1374" r="-1249" b="-1372"/>
                  <a:stretch/>
                </pic:blipFill>
                <pic:spPr bwMode="auto">
                  <a:xfrm>
                    <a:off x="0" y="0"/>
                    <a:ext cx="591439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F3D298" w14:textId="77777777" w:rsidR="002C22B9" w:rsidRDefault="002C22B9">
    <w:pPr>
      <w:pStyle w:val="Header"/>
    </w:pPr>
  </w:p>
  <w:p w14:paraId="61E309B4" w14:textId="77777777" w:rsidR="002C22B9" w:rsidRDefault="002C22B9">
    <w:pPr>
      <w:pStyle w:val="Header"/>
    </w:pPr>
  </w:p>
  <w:p w14:paraId="5DF81B3A" w14:textId="77777777" w:rsidR="002C22B9" w:rsidRDefault="002C22B9">
    <w:pPr>
      <w:pStyle w:val="Header"/>
    </w:pPr>
  </w:p>
  <w:p w14:paraId="12395BEF" w14:textId="77777777" w:rsidR="002C22B9" w:rsidRDefault="002C22B9">
    <w:pPr>
      <w:pStyle w:val="Header"/>
    </w:pPr>
  </w:p>
  <w:p w14:paraId="3D88ADD3" w14:textId="77777777" w:rsidR="002C22B9" w:rsidRDefault="002C22B9">
    <w:pPr>
      <w:pStyle w:val="Header"/>
    </w:pPr>
  </w:p>
  <w:p w14:paraId="3F8154DD" w14:textId="77777777" w:rsidR="002C22B9" w:rsidRDefault="002C22B9">
    <w:pPr>
      <w:pStyle w:val="Header"/>
    </w:pPr>
  </w:p>
  <w:p w14:paraId="5FA17AA0" w14:textId="77777777" w:rsidR="002C22B9" w:rsidRDefault="0037045B">
    <w:pPr>
      <w:pStyle w:val="Header"/>
    </w:pPr>
    <w:r>
      <w:rPr>
        <w:noProof/>
        <w:lang w:eastAsia="lv-LV"/>
      </w:rPr>
      <mc:AlternateContent>
        <mc:Choice Requires="wpg">
          <w:drawing>
            <wp:anchor distT="0" distB="0" distL="114300" distR="114300" simplePos="0" relativeHeight="251659264" behindDoc="1" locked="0" layoutInCell="1" allowOverlap="1" wp14:anchorId="71C1E7E1" wp14:editId="36E9A9FC">
              <wp:simplePos x="0" y="0"/>
              <wp:positionH relativeFrom="margin">
                <wp:posOffset>-34290</wp:posOffset>
              </wp:positionH>
              <wp:positionV relativeFrom="page">
                <wp:posOffset>1903095</wp:posOffset>
              </wp:positionV>
              <wp:extent cx="5937250" cy="45085"/>
              <wp:effectExtent l="0" t="0" r="25400" b="0"/>
              <wp:wrapNone/>
              <wp:docPr id="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250" cy="45085"/>
                        <a:chOff x="2915" y="2998"/>
                        <a:chExt cx="6926" cy="2"/>
                      </a:xfrm>
                    </wpg:grpSpPr>
                    <wps:wsp>
                      <wps:cNvPr id="10"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B1329D" id="Group 41" o:spid="_x0000_s1026" style="position:absolute;margin-left:-2.7pt;margin-top:149.85pt;width:467.5pt;height:3.55pt;z-index:-251657216;mso-position-horizontal-relative:margin;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">
              <v:shape id="Freeform 42" o:spid="_x0000_s1027" style="position:absolute;left:2915;top:2998;width:6926;height:2;visibility:visible;mso-wrap-style:square;v-text-anchor:top" coordsize="692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cnmMYA&#10;AADbAAAADwAAAGRycy9kb3ducmV2LnhtbESPQUvDQBCF70L/wzKCF7GbWio27bYUsdB6MwribcxO&#10;k2B2Nu6uadpf7xwK3mZ4b977ZrkeXKt6CrHxbGAyzkARl942XBl4f9vePYKKCdli65kMnCjCejW6&#10;WmJu/ZFfqS9SpSSEY44G6pS6XOtY1uQwjn1HLNrBB4dJ1lBpG/Ao4a7V91n2oB02LA01dvRUU/ld&#10;/DoDL9l0Pvv4muh5oW9/bNj3n8/n3pib62GzAJVoSP/my/XOCr7Qyy8ygF7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WcnmMYAAADbAAAADwAAAAAAAAAAAAAAAACYAgAAZHJz&#10;L2Rvd25yZXYueG1sUEsFBgAAAAAEAAQA9QAAAIsDAAAAAA==&#10;" path="m,l6926,e" filled="f" strokecolor="#231f20" strokeweight=".25pt">
                <v:path arrowok="t" o:connecttype="custom" o:connectlocs="0,0;6926,0" o:connectangles="0,0"/>
              </v:shape>
              <w10:wrap anchorx="margin" anchory="page"/>
            </v:group>
          </w:pict>
        </mc:Fallback>
      </mc:AlternateContent>
    </w:r>
  </w:p>
  <w:p w14:paraId="50EA2BE2" w14:textId="77777777" w:rsidR="002C22B9" w:rsidRDefault="002C22B9">
    <w:pPr>
      <w:pStyle w:val="Header"/>
    </w:pPr>
  </w:p>
  <w:p w14:paraId="42A25C30" w14:textId="77777777" w:rsidR="002C22B9" w:rsidRDefault="002C22B9">
    <w:pPr>
      <w:pStyle w:val="Header"/>
    </w:pPr>
  </w:p>
  <w:p w14:paraId="69B7642B" w14:textId="77777777" w:rsidR="002C22B9" w:rsidRDefault="002C22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46C49"/>
    <w:multiLevelType w:val="hybridMultilevel"/>
    <w:tmpl w:val="A1941E94"/>
    <w:lvl w:ilvl="0" w:tplc="E3DAB064">
      <w:start w:val="1"/>
      <w:numFmt w:val="decimal"/>
      <w:lvlText w:val="%1."/>
      <w:lvlJc w:val="left"/>
      <w:pPr>
        <w:ind w:left="1069" w:hanging="360"/>
      </w:pPr>
      <w:rPr>
        <w:rFonts w:hint="default"/>
        <w:b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1" w15:restartNumberingAfterBreak="0">
    <w:nsid w:val="70425AEA"/>
    <w:multiLevelType w:val="hybridMultilevel"/>
    <w:tmpl w:val="5BECC80C"/>
    <w:lvl w:ilvl="0" w:tplc="285A477C">
      <w:start w:val="1"/>
      <w:numFmt w:val="decimal"/>
      <w:lvlText w:val="%1."/>
      <w:lvlJc w:val="left"/>
      <w:pPr>
        <w:ind w:left="1080" w:hanging="360"/>
      </w:pPr>
      <w:rPr>
        <w:rFonts w:eastAsia="Calibri"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E51"/>
    <w:rsid w:val="0002005E"/>
    <w:rsid w:val="00025906"/>
    <w:rsid w:val="00051BDB"/>
    <w:rsid w:val="00054277"/>
    <w:rsid w:val="00062D32"/>
    <w:rsid w:val="00063804"/>
    <w:rsid w:val="000704C8"/>
    <w:rsid w:val="00071A7D"/>
    <w:rsid w:val="00072A98"/>
    <w:rsid w:val="0008360A"/>
    <w:rsid w:val="000859B0"/>
    <w:rsid w:val="00086189"/>
    <w:rsid w:val="000A0A49"/>
    <w:rsid w:val="000A2273"/>
    <w:rsid w:val="000A4A49"/>
    <w:rsid w:val="000B5E98"/>
    <w:rsid w:val="000B75CE"/>
    <w:rsid w:val="000C0DD4"/>
    <w:rsid w:val="000C1481"/>
    <w:rsid w:val="000E05A4"/>
    <w:rsid w:val="000E7902"/>
    <w:rsid w:val="00101EF2"/>
    <w:rsid w:val="00102247"/>
    <w:rsid w:val="001042A3"/>
    <w:rsid w:val="00114955"/>
    <w:rsid w:val="00130802"/>
    <w:rsid w:val="00136D67"/>
    <w:rsid w:val="001421E1"/>
    <w:rsid w:val="001428D4"/>
    <w:rsid w:val="001459C6"/>
    <w:rsid w:val="00146475"/>
    <w:rsid w:val="00146FE3"/>
    <w:rsid w:val="0015384D"/>
    <w:rsid w:val="00156874"/>
    <w:rsid w:val="00160F55"/>
    <w:rsid w:val="0017402C"/>
    <w:rsid w:val="00176F63"/>
    <w:rsid w:val="00184AB5"/>
    <w:rsid w:val="001943EE"/>
    <w:rsid w:val="001D78A7"/>
    <w:rsid w:val="001F53D9"/>
    <w:rsid w:val="00203705"/>
    <w:rsid w:val="0021300E"/>
    <w:rsid w:val="00220CEE"/>
    <w:rsid w:val="00224396"/>
    <w:rsid w:val="00227D91"/>
    <w:rsid w:val="0023013F"/>
    <w:rsid w:val="00235349"/>
    <w:rsid w:val="00244390"/>
    <w:rsid w:val="00260557"/>
    <w:rsid w:val="00261352"/>
    <w:rsid w:val="002644F0"/>
    <w:rsid w:val="00266CF2"/>
    <w:rsid w:val="00267E3D"/>
    <w:rsid w:val="00292E11"/>
    <w:rsid w:val="0029448D"/>
    <w:rsid w:val="002A20A3"/>
    <w:rsid w:val="002B2B9A"/>
    <w:rsid w:val="002C22B9"/>
    <w:rsid w:val="002D0DAE"/>
    <w:rsid w:val="002D2EFD"/>
    <w:rsid w:val="002D6CB4"/>
    <w:rsid w:val="002E06CD"/>
    <w:rsid w:val="002E288C"/>
    <w:rsid w:val="002F5D59"/>
    <w:rsid w:val="003026CE"/>
    <w:rsid w:val="00302D28"/>
    <w:rsid w:val="00304112"/>
    <w:rsid w:val="003043C9"/>
    <w:rsid w:val="00314B6D"/>
    <w:rsid w:val="0031519D"/>
    <w:rsid w:val="00317010"/>
    <w:rsid w:val="00325CE2"/>
    <w:rsid w:val="00330C2A"/>
    <w:rsid w:val="00332AF9"/>
    <w:rsid w:val="00341839"/>
    <w:rsid w:val="0037045B"/>
    <w:rsid w:val="00374C0D"/>
    <w:rsid w:val="00380855"/>
    <w:rsid w:val="00383D87"/>
    <w:rsid w:val="00386F28"/>
    <w:rsid w:val="00392EBE"/>
    <w:rsid w:val="00393EB9"/>
    <w:rsid w:val="00396BF4"/>
    <w:rsid w:val="003A324A"/>
    <w:rsid w:val="003B329B"/>
    <w:rsid w:val="003B4764"/>
    <w:rsid w:val="003D09AE"/>
    <w:rsid w:val="003D179D"/>
    <w:rsid w:val="003F2252"/>
    <w:rsid w:val="003F2673"/>
    <w:rsid w:val="003F4635"/>
    <w:rsid w:val="003F79A5"/>
    <w:rsid w:val="004059A7"/>
    <w:rsid w:val="004218E7"/>
    <w:rsid w:val="004241B4"/>
    <w:rsid w:val="00434A02"/>
    <w:rsid w:val="0043643E"/>
    <w:rsid w:val="004478B9"/>
    <w:rsid w:val="00474D18"/>
    <w:rsid w:val="00483407"/>
    <w:rsid w:val="004E2880"/>
    <w:rsid w:val="004E45F2"/>
    <w:rsid w:val="004E4C3B"/>
    <w:rsid w:val="004F1503"/>
    <w:rsid w:val="004F221F"/>
    <w:rsid w:val="004F32A1"/>
    <w:rsid w:val="004F671B"/>
    <w:rsid w:val="004F7DFD"/>
    <w:rsid w:val="005053F3"/>
    <w:rsid w:val="00513B65"/>
    <w:rsid w:val="00526E86"/>
    <w:rsid w:val="0053353D"/>
    <w:rsid w:val="00546FDE"/>
    <w:rsid w:val="00550841"/>
    <w:rsid w:val="00550BA5"/>
    <w:rsid w:val="00557B49"/>
    <w:rsid w:val="0056044A"/>
    <w:rsid w:val="00566B07"/>
    <w:rsid w:val="00583887"/>
    <w:rsid w:val="00583F38"/>
    <w:rsid w:val="005846CE"/>
    <w:rsid w:val="00584ED6"/>
    <w:rsid w:val="005910E7"/>
    <w:rsid w:val="005A0BBB"/>
    <w:rsid w:val="005D7171"/>
    <w:rsid w:val="005E3D1E"/>
    <w:rsid w:val="005F3139"/>
    <w:rsid w:val="00613984"/>
    <w:rsid w:val="00615936"/>
    <w:rsid w:val="006205B8"/>
    <w:rsid w:val="00622CFD"/>
    <w:rsid w:val="006240D2"/>
    <w:rsid w:val="00636996"/>
    <w:rsid w:val="00642EE6"/>
    <w:rsid w:val="00643F3C"/>
    <w:rsid w:val="006610B8"/>
    <w:rsid w:val="00667635"/>
    <w:rsid w:val="00683E8B"/>
    <w:rsid w:val="00697AB8"/>
    <w:rsid w:val="006A05F7"/>
    <w:rsid w:val="006A3594"/>
    <w:rsid w:val="006A707B"/>
    <w:rsid w:val="006B33CB"/>
    <w:rsid w:val="006B42A2"/>
    <w:rsid w:val="006D24EC"/>
    <w:rsid w:val="006D6710"/>
    <w:rsid w:val="006E45DD"/>
    <w:rsid w:val="006E689E"/>
    <w:rsid w:val="006E6DBE"/>
    <w:rsid w:val="00701105"/>
    <w:rsid w:val="0070258A"/>
    <w:rsid w:val="00706C69"/>
    <w:rsid w:val="0070718E"/>
    <w:rsid w:val="0071276C"/>
    <w:rsid w:val="00730E2D"/>
    <w:rsid w:val="00733696"/>
    <w:rsid w:val="00733C31"/>
    <w:rsid w:val="007523B6"/>
    <w:rsid w:val="00755532"/>
    <w:rsid w:val="00765592"/>
    <w:rsid w:val="00786DAF"/>
    <w:rsid w:val="00792DE6"/>
    <w:rsid w:val="007A5BA9"/>
    <w:rsid w:val="007A73EC"/>
    <w:rsid w:val="007B32A0"/>
    <w:rsid w:val="007C5B7E"/>
    <w:rsid w:val="007D3EFF"/>
    <w:rsid w:val="007E021E"/>
    <w:rsid w:val="007E7EA0"/>
    <w:rsid w:val="007F3771"/>
    <w:rsid w:val="007F6888"/>
    <w:rsid w:val="00801182"/>
    <w:rsid w:val="00812E64"/>
    <w:rsid w:val="008237C6"/>
    <w:rsid w:val="00826D51"/>
    <w:rsid w:val="008360BD"/>
    <w:rsid w:val="00837277"/>
    <w:rsid w:val="0086567E"/>
    <w:rsid w:val="00866595"/>
    <w:rsid w:val="00875EF1"/>
    <w:rsid w:val="00884446"/>
    <w:rsid w:val="00886C8A"/>
    <w:rsid w:val="008A5EC1"/>
    <w:rsid w:val="008C508E"/>
    <w:rsid w:val="008C65E9"/>
    <w:rsid w:val="008D22AE"/>
    <w:rsid w:val="008E4EA4"/>
    <w:rsid w:val="008E4FE5"/>
    <w:rsid w:val="008F1369"/>
    <w:rsid w:val="008F15DF"/>
    <w:rsid w:val="008F2376"/>
    <w:rsid w:val="00903B9C"/>
    <w:rsid w:val="00911470"/>
    <w:rsid w:val="00920076"/>
    <w:rsid w:val="009212D8"/>
    <w:rsid w:val="009328EF"/>
    <w:rsid w:val="00963ACC"/>
    <w:rsid w:val="00967334"/>
    <w:rsid w:val="00973529"/>
    <w:rsid w:val="009819D5"/>
    <w:rsid w:val="0098433C"/>
    <w:rsid w:val="00985C1D"/>
    <w:rsid w:val="00996DC8"/>
    <w:rsid w:val="009A1076"/>
    <w:rsid w:val="009B2296"/>
    <w:rsid w:val="009B7929"/>
    <w:rsid w:val="009C643F"/>
    <w:rsid w:val="009E200C"/>
    <w:rsid w:val="009F3293"/>
    <w:rsid w:val="009F77B9"/>
    <w:rsid w:val="00A03231"/>
    <w:rsid w:val="00A17946"/>
    <w:rsid w:val="00A21D44"/>
    <w:rsid w:val="00A30AED"/>
    <w:rsid w:val="00A318B0"/>
    <w:rsid w:val="00A37544"/>
    <w:rsid w:val="00A4004D"/>
    <w:rsid w:val="00A54546"/>
    <w:rsid w:val="00A87DFA"/>
    <w:rsid w:val="00A94030"/>
    <w:rsid w:val="00AA21A4"/>
    <w:rsid w:val="00AA6DC1"/>
    <w:rsid w:val="00AA74E7"/>
    <w:rsid w:val="00AB2288"/>
    <w:rsid w:val="00AB278E"/>
    <w:rsid w:val="00AC60C1"/>
    <w:rsid w:val="00AD576B"/>
    <w:rsid w:val="00AE2200"/>
    <w:rsid w:val="00AF21C7"/>
    <w:rsid w:val="00B26E48"/>
    <w:rsid w:val="00B30E51"/>
    <w:rsid w:val="00B45C16"/>
    <w:rsid w:val="00B9570C"/>
    <w:rsid w:val="00BB4400"/>
    <w:rsid w:val="00BD24E4"/>
    <w:rsid w:val="00BE3E7A"/>
    <w:rsid w:val="00BE5011"/>
    <w:rsid w:val="00BE78C7"/>
    <w:rsid w:val="00BF11EB"/>
    <w:rsid w:val="00BF233C"/>
    <w:rsid w:val="00C038B7"/>
    <w:rsid w:val="00C041F7"/>
    <w:rsid w:val="00C04DED"/>
    <w:rsid w:val="00C21975"/>
    <w:rsid w:val="00C345B8"/>
    <w:rsid w:val="00C375DF"/>
    <w:rsid w:val="00C44804"/>
    <w:rsid w:val="00C45100"/>
    <w:rsid w:val="00C50C30"/>
    <w:rsid w:val="00C53A90"/>
    <w:rsid w:val="00C54CFF"/>
    <w:rsid w:val="00C56C1D"/>
    <w:rsid w:val="00C6145F"/>
    <w:rsid w:val="00C640B7"/>
    <w:rsid w:val="00C81055"/>
    <w:rsid w:val="00C87CD4"/>
    <w:rsid w:val="00CD3BB8"/>
    <w:rsid w:val="00CE0655"/>
    <w:rsid w:val="00CE69BB"/>
    <w:rsid w:val="00CF7CC2"/>
    <w:rsid w:val="00D0332A"/>
    <w:rsid w:val="00D06A60"/>
    <w:rsid w:val="00D1142D"/>
    <w:rsid w:val="00D149A6"/>
    <w:rsid w:val="00D3049B"/>
    <w:rsid w:val="00D4070C"/>
    <w:rsid w:val="00D462B6"/>
    <w:rsid w:val="00D51CC7"/>
    <w:rsid w:val="00D57801"/>
    <w:rsid w:val="00D65123"/>
    <w:rsid w:val="00D70A7C"/>
    <w:rsid w:val="00D73652"/>
    <w:rsid w:val="00D873B0"/>
    <w:rsid w:val="00DA3EAF"/>
    <w:rsid w:val="00DA7256"/>
    <w:rsid w:val="00DA7D9E"/>
    <w:rsid w:val="00DB1E3A"/>
    <w:rsid w:val="00DB5AB6"/>
    <w:rsid w:val="00DC1310"/>
    <w:rsid w:val="00DC1600"/>
    <w:rsid w:val="00DC461E"/>
    <w:rsid w:val="00DD4524"/>
    <w:rsid w:val="00DD56CC"/>
    <w:rsid w:val="00DD5E25"/>
    <w:rsid w:val="00DE7EC9"/>
    <w:rsid w:val="00DF1EC1"/>
    <w:rsid w:val="00DF75CE"/>
    <w:rsid w:val="00E04F00"/>
    <w:rsid w:val="00E0527A"/>
    <w:rsid w:val="00E13483"/>
    <w:rsid w:val="00E15F9B"/>
    <w:rsid w:val="00E25982"/>
    <w:rsid w:val="00E3743F"/>
    <w:rsid w:val="00E375E4"/>
    <w:rsid w:val="00E44ADB"/>
    <w:rsid w:val="00E71316"/>
    <w:rsid w:val="00E95294"/>
    <w:rsid w:val="00EA5EE5"/>
    <w:rsid w:val="00EA7310"/>
    <w:rsid w:val="00EB1825"/>
    <w:rsid w:val="00EB2C30"/>
    <w:rsid w:val="00EE1908"/>
    <w:rsid w:val="00EF2339"/>
    <w:rsid w:val="00F06A13"/>
    <w:rsid w:val="00F14918"/>
    <w:rsid w:val="00F220D5"/>
    <w:rsid w:val="00F33DBE"/>
    <w:rsid w:val="00F33E54"/>
    <w:rsid w:val="00F35615"/>
    <w:rsid w:val="00F365B1"/>
    <w:rsid w:val="00F37820"/>
    <w:rsid w:val="00F462A6"/>
    <w:rsid w:val="00F62E54"/>
    <w:rsid w:val="00F84ADE"/>
    <w:rsid w:val="00F949B7"/>
    <w:rsid w:val="00F952BC"/>
    <w:rsid w:val="00FB1DB2"/>
    <w:rsid w:val="00FB225E"/>
    <w:rsid w:val="00FE2AC9"/>
    <w:rsid w:val="00FE7A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544C32B1"/>
  <w15:docId w15:val="{2CD99BFC-0B14-4ABE-B442-61A8F770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EA4"/>
    <w:pPr>
      <w:jc w:val="both"/>
    </w:pPr>
    <w:rPr>
      <w:sz w:val="24"/>
      <w:lang w:eastAsia="en-US"/>
    </w:rPr>
  </w:style>
  <w:style w:type="paragraph" w:styleId="Heading1">
    <w:name w:val="heading 1"/>
    <w:basedOn w:val="Normal"/>
    <w:next w:val="Normal"/>
    <w:qFormat/>
    <w:rsid w:val="00903B9C"/>
    <w:pPr>
      <w:keepNext/>
      <w:spacing w:before="240" w:after="60"/>
      <w:outlineLvl w:val="0"/>
    </w:pPr>
    <w:rPr>
      <w:b/>
      <w:kern w:val="28"/>
      <w:sz w:val="28"/>
    </w:rPr>
  </w:style>
  <w:style w:type="paragraph" w:styleId="Heading2">
    <w:name w:val="heading 2"/>
    <w:basedOn w:val="Normal"/>
    <w:next w:val="Normal"/>
    <w:qFormat/>
    <w:rsid w:val="00903B9C"/>
    <w:pPr>
      <w:keepNext/>
      <w:spacing w:before="240" w:after="60"/>
      <w:outlineLvl w:val="1"/>
    </w:pPr>
    <w:rPr>
      <w:b/>
      <w:sz w:val="26"/>
    </w:rPr>
  </w:style>
  <w:style w:type="paragraph" w:styleId="Heading3">
    <w:name w:val="heading 3"/>
    <w:basedOn w:val="Normal"/>
    <w:next w:val="Normal"/>
    <w:qFormat/>
    <w:rsid w:val="00903B9C"/>
    <w:pPr>
      <w:keepNext/>
      <w:spacing w:before="240" w:after="60"/>
      <w:outlineLvl w:val="2"/>
    </w:pPr>
    <w:rPr>
      <w:b/>
    </w:rPr>
  </w:style>
  <w:style w:type="paragraph" w:styleId="Heading4">
    <w:name w:val="heading 4"/>
    <w:basedOn w:val="Normal"/>
    <w:next w:val="Normal"/>
    <w:qFormat/>
    <w:rsid w:val="00903B9C"/>
    <w:pPr>
      <w:keepNext/>
      <w:jc w:val="center"/>
      <w:outlineLvl w:val="3"/>
    </w:pPr>
    <w:rPr>
      <w:spacing w:val="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03B9C"/>
    <w:pPr>
      <w:tabs>
        <w:tab w:val="center" w:pos="4153"/>
        <w:tab w:val="right" w:pos="8306"/>
      </w:tabs>
    </w:pPr>
    <w:rPr>
      <w:sz w:val="18"/>
    </w:rPr>
  </w:style>
  <w:style w:type="paragraph" w:styleId="Footer">
    <w:name w:val="footer"/>
    <w:basedOn w:val="Normal"/>
    <w:link w:val="FooterChar"/>
    <w:uiPriority w:val="99"/>
    <w:rsid w:val="00903B9C"/>
    <w:pPr>
      <w:tabs>
        <w:tab w:val="center" w:pos="4153"/>
        <w:tab w:val="right" w:pos="8306"/>
      </w:tabs>
    </w:pPr>
    <w:rPr>
      <w:sz w:val="18"/>
    </w:rPr>
  </w:style>
  <w:style w:type="character" w:styleId="PageNumber">
    <w:name w:val="page number"/>
    <w:rsid w:val="00903B9C"/>
    <w:rPr>
      <w:rFonts w:ascii="Times New Roman" w:hAnsi="Times New Roman"/>
    </w:rPr>
  </w:style>
  <w:style w:type="paragraph" w:styleId="Caption">
    <w:name w:val="caption"/>
    <w:basedOn w:val="Normal"/>
    <w:next w:val="Normal"/>
    <w:qFormat/>
    <w:rsid w:val="00903B9C"/>
    <w:pPr>
      <w:framePr w:w="9083" w:hSpace="181" w:wrap="around" w:vAnchor="page" w:hAnchor="page" w:x="1702" w:y="579" w:anchorLock="1"/>
      <w:pBdr>
        <w:bottom w:val="single" w:sz="6" w:space="4" w:color="auto"/>
      </w:pBdr>
      <w:jc w:val="center"/>
    </w:pPr>
    <w:rPr>
      <w:spacing w:val="2"/>
      <w:sz w:val="28"/>
    </w:rPr>
  </w:style>
  <w:style w:type="paragraph" w:styleId="FootnoteText">
    <w:name w:val="footnote text"/>
    <w:basedOn w:val="Normal"/>
    <w:link w:val="FootnoteTextChar"/>
    <w:semiHidden/>
    <w:rsid w:val="00903B9C"/>
    <w:rPr>
      <w:sz w:val="20"/>
    </w:rPr>
  </w:style>
  <w:style w:type="character" w:styleId="FootnoteReference">
    <w:name w:val="footnote reference"/>
    <w:semiHidden/>
    <w:rsid w:val="00903B9C"/>
    <w:rPr>
      <w:rFonts w:ascii="Times New Roman" w:hAnsi="Times New Roman"/>
      <w:vertAlign w:val="superscript"/>
    </w:rPr>
  </w:style>
  <w:style w:type="paragraph" w:styleId="DocumentMap">
    <w:name w:val="Document Map"/>
    <w:basedOn w:val="Normal"/>
    <w:semiHidden/>
    <w:rsid w:val="00903B9C"/>
    <w:pPr>
      <w:shd w:val="clear" w:color="auto" w:fill="000080"/>
    </w:pPr>
    <w:rPr>
      <w:rFonts w:ascii="Tahoma" w:hAnsi="Tahoma" w:cs="Tahoma"/>
    </w:rPr>
  </w:style>
  <w:style w:type="character" w:styleId="Hyperlink">
    <w:name w:val="Hyperlink"/>
    <w:rsid w:val="00101EF2"/>
    <w:rPr>
      <w:color w:val="0000FF"/>
      <w:u w:val="single"/>
    </w:rPr>
  </w:style>
  <w:style w:type="paragraph" w:styleId="BalloonText">
    <w:name w:val="Balloon Text"/>
    <w:basedOn w:val="Normal"/>
    <w:semiHidden/>
    <w:rsid w:val="00884446"/>
    <w:rPr>
      <w:rFonts w:ascii="Tahoma" w:hAnsi="Tahoma" w:cs="Tahoma"/>
      <w:sz w:val="16"/>
      <w:szCs w:val="16"/>
    </w:rPr>
  </w:style>
  <w:style w:type="character" w:customStyle="1" w:styleId="FootnoteTextChar">
    <w:name w:val="Footnote Text Char"/>
    <w:link w:val="FootnoteText"/>
    <w:semiHidden/>
    <w:rsid w:val="008F15DF"/>
    <w:rPr>
      <w:lang w:eastAsia="en-US"/>
    </w:rPr>
  </w:style>
  <w:style w:type="character" w:customStyle="1" w:styleId="FooterChar">
    <w:name w:val="Footer Char"/>
    <w:basedOn w:val="DefaultParagraphFont"/>
    <w:link w:val="Footer"/>
    <w:uiPriority w:val="99"/>
    <w:rsid w:val="006D6710"/>
    <w:rPr>
      <w:sz w:val="18"/>
      <w:lang w:eastAsia="en-US"/>
    </w:rPr>
  </w:style>
  <w:style w:type="paragraph" w:styleId="BodyTextIndent">
    <w:name w:val="Body Text Indent"/>
    <w:basedOn w:val="Normal"/>
    <w:link w:val="BodyTextIndentChar"/>
    <w:uiPriority w:val="99"/>
    <w:unhideWhenUsed/>
    <w:rsid w:val="002D6CB4"/>
    <w:pPr>
      <w:spacing w:before="120" w:after="120"/>
      <w:ind w:left="283"/>
      <w:jc w:val="left"/>
    </w:pPr>
    <w:rPr>
      <w:sz w:val="20"/>
    </w:rPr>
  </w:style>
  <w:style w:type="character" w:customStyle="1" w:styleId="BodyTextIndentChar">
    <w:name w:val="Body Text Indent Char"/>
    <w:basedOn w:val="DefaultParagraphFont"/>
    <w:link w:val="BodyTextIndent"/>
    <w:uiPriority w:val="99"/>
    <w:rsid w:val="002D6CB4"/>
    <w:rPr>
      <w:lang w:eastAsia="en-US"/>
    </w:rPr>
  </w:style>
  <w:style w:type="character" w:styleId="PlaceholderText">
    <w:name w:val="Placeholder Text"/>
    <w:basedOn w:val="DefaultParagraphFont"/>
    <w:uiPriority w:val="99"/>
    <w:semiHidden/>
    <w:rsid w:val="00826D51"/>
    <w:rPr>
      <w:color w:val="808080"/>
    </w:rPr>
  </w:style>
  <w:style w:type="table" w:styleId="TableGrid">
    <w:name w:val="Table Grid"/>
    <w:basedOn w:val="TableNormal"/>
    <w:uiPriority w:val="59"/>
    <w:rsid w:val="004E4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375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83217">
      <w:bodyDiv w:val="1"/>
      <w:marLeft w:val="0"/>
      <w:marRight w:val="0"/>
      <w:marTop w:val="0"/>
      <w:marBottom w:val="0"/>
      <w:divBdr>
        <w:top w:val="none" w:sz="0" w:space="0" w:color="auto"/>
        <w:left w:val="none" w:sz="0" w:space="0" w:color="auto"/>
        <w:bottom w:val="none" w:sz="0" w:space="0" w:color="auto"/>
        <w:right w:val="none" w:sz="0" w:space="0" w:color="auto"/>
      </w:divBdr>
    </w:div>
    <w:div w:id="163015375">
      <w:bodyDiv w:val="1"/>
      <w:marLeft w:val="0"/>
      <w:marRight w:val="0"/>
      <w:marTop w:val="0"/>
      <w:marBottom w:val="0"/>
      <w:divBdr>
        <w:top w:val="none" w:sz="0" w:space="0" w:color="auto"/>
        <w:left w:val="none" w:sz="0" w:space="0" w:color="auto"/>
        <w:bottom w:val="none" w:sz="0" w:space="0" w:color="auto"/>
        <w:right w:val="none" w:sz="0" w:space="0" w:color="auto"/>
      </w:divBdr>
    </w:div>
    <w:div w:id="253784472">
      <w:bodyDiv w:val="1"/>
      <w:marLeft w:val="0"/>
      <w:marRight w:val="0"/>
      <w:marTop w:val="0"/>
      <w:marBottom w:val="0"/>
      <w:divBdr>
        <w:top w:val="none" w:sz="0" w:space="0" w:color="auto"/>
        <w:left w:val="none" w:sz="0" w:space="0" w:color="auto"/>
        <w:bottom w:val="none" w:sz="0" w:space="0" w:color="auto"/>
        <w:right w:val="none" w:sz="0" w:space="0" w:color="auto"/>
      </w:divBdr>
    </w:div>
    <w:div w:id="557320575">
      <w:bodyDiv w:val="1"/>
      <w:marLeft w:val="0"/>
      <w:marRight w:val="0"/>
      <w:marTop w:val="0"/>
      <w:marBottom w:val="0"/>
      <w:divBdr>
        <w:top w:val="none" w:sz="0" w:space="0" w:color="auto"/>
        <w:left w:val="none" w:sz="0" w:space="0" w:color="auto"/>
        <w:bottom w:val="none" w:sz="0" w:space="0" w:color="auto"/>
        <w:right w:val="none" w:sz="0" w:space="0" w:color="auto"/>
      </w:divBdr>
    </w:div>
    <w:div w:id="566110072">
      <w:bodyDiv w:val="1"/>
      <w:marLeft w:val="0"/>
      <w:marRight w:val="0"/>
      <w:marTop w:val="0"/>
      <w:marBottom w:val="0"/>
      <w:divBdr>
        <w:top w:val="none" w:sz="0" w:space="0" w:color="auto"/>
        <w:left w:val="none" w:sz="0" w:space="0" w:color="auto"/>
        <w:bottom w:val="none" w:sz="0" w:space="0" w:color="auto"/>
        <w:right w:val="none" w:sz="0" w:space="0" w:color="auto"/>
      </w:divBdr>
    </w:div>
    <w:div w:id="844393798">
      <w:bodyDiv w:val="1"/>
      <w:marLeft w:val="0"/>
      <w:marRight w:val="0"/>
      <w:marTop w:val="0"/>
      <w:marBottom w:val="0"/>
      <w:divBdr>
        <w:top w:val="none" w:sz="0" w:space="0" w:color="auto"/>
        <w:left w:val="none" w:sz="0" w:space="0" w:color="auto"/>
        <w:bottom w:val="none" w:sz="0" w:space="0" w:color="auto"/>
        <w:right w:val="none" w:sz="0" w:space="0" w:color="auto"/>
      </w:divBdr>
    </w:div>
    <w:div w:id="960914943">
      <w:bodyDiv w:val="1"/>
      <w:marLeft w:val="0"/>
      <w:marRight w:val="0"/>
      <w:marTop w:val="0"/>
      <w:marBottom w:val="0"/>
      <w:divBdr>
        <w:top w:val="none" w:sz="0" w:space="0" w:color="auto"/>
        <w:left w:val="none" w:sz="0" w:space="0" w:color="auto"/>
        <w:bottom w:val="none" w:sz="0" w:space="0" w:color="auto"/>
        <w:right w:val="none" w:sz="0" w:space="0" w:color="auto"/>
      </w:divBdr>
    </w:div>
    <w:div w:id="982393156">
      <w:bodyDiv w:val="1"/>
      <w:marLeft w:val="0"/>
      <w:marRight w:val="0"/>
      <w:marTop w:val="0"/>
      <w:marBottom w:val="0"/>
      <w:divBdr>
        <w:top w:val="none" w:sz="0" w:space="0" w:color="auto"/>
        <w:left w:val="none" w:sz="0" w:space="0" w:color="auto"/>
        <w:bottom w:val="none" w:sz="0" w:space="0" w:color="auto"/>
        <w:right w:val="none" w:sz="0" w:space="0" w:color="auto"/>
      </w:divBdr>
    </w:div>
    <w:div w:id="1021977085">
      <w:bodyDiv w:val="1"/>
      <w:marLeft w:val="0"/>
      <w:marRight w:val="0"/>
      <w:marTop w:val="0"/>
      <w:marBottom w:val="0"/>
      <w:divBdr>
        <w:top w:val="none" w:sz="0" w:space="0" w:color="auto"/>
        <w:left w:val="none" w:sz="0" w:space="0" w:color="auto"/>
        <w:bottom w:val="none" w:sz="0" w:space="0" w:color="auto"/>
        <w:right w:val="none" w:sz="0" w:space="0" w:color="auto"/>
      </w:divBdr>
    </w:div>
    <w:div w:id="1057512489">
      <w:bodyDiv w:val="1"/>
      <w:marLeft w:val="0"/>
      <w:marRight w:val="0"/>
      <w:marTop w:val="0"/>
      <w:marBottom w:val="0"/>
      <w:divBdr>
        <w:top w:val="none" w:sz="0" w:space="0" w:color="auto"/>
        <w:left w:val="none" w:sz="0" w:space="0" w:color="auto"/>
        <w:bottom w:val="none" w:sz="0" w:space="0" w:color="auto"/>
        <w:right w:val="none" w:sz="0" w:space="0" w:color="auto"/>
      </w:divBdr>
    </w:div>
    <w:div w:id="1175221815">
      <w:bodyDiv w:val="1"/>
      <w:marLeft w:val="0"/>
      <w:marRight w:val="0"/>
      <w:marTop w:val="0"/>
      <w:marBottom w:val="0"/>
      <w:divBdr>
        <w:top w:val="none" w:sz="0" w:space="0" w:color="auto"/>
        <w:left w:val="none" w:sz="0" w:space="0" w:color="auto"/>
        <w:bottom w:val="none" w:sz="0" w:space="0" w:color="auto"/>
        <w:right w:val="none" w:sz="0" w:space="0" w:color="auto"/>
      </w:divBdr>
    </w:div>
    <w:div w:id="1204176316">
      <w:bodyDiv w:val="1"/>
      <w:marLeft w:val="0"/>
      <w:marRight w:val="0"/>
      <w:marTop w:val="0"/>
      <w:marBottom w:val="0"/>
      <w:divBdr>
        <w:top w:val="none" w:sz="0" w:space="0" w:color="auto"/>
        <w:left w:val="none" w:sz="0" w:space="0" w:color="auto"/>
        <w:bottom w:val="none" w:sz="0" w:space="0" w:color="auto"/>
        <w:right w:val="none" w:sz="0" w:space="0" w:color="auto"/>
      </w:divBdr>
    </w:div>
    <w:div w:id="1238594022">
      <w:bodyDiv w:val="1"/>
      <w:marLeft w:val="0"/>
      <w:marRight w:val="0"/>
      <w:marTop w:val="0"/>
      <w:marBottom w:val="0"/>
      <w:divBdr>
        <w:top w:val="none" w:sz="0" w:space="0" w:color="auto"/>
        <w:left w:val="none" w:sz="0" w:space="0" w:color="auto"/>
        <w:bottom w:val="none" w:sz="0" w:space="0" w:color="auto"/>
        <w:right w:val="none" w:sz="0" w:space="0" w:color="auto"/>
      </w:divBdr>
    </w:div>
    <w:div w:id="1246501274">
      <w:bodyDiv w:val="1"/>
      <w:marLeft w:val="0"/>
      <w:marRight w:val="0"/>
      <w:marTop w:val="0"/>
      <w:marBottom w:val="0"/>
      <w:divBdr>
        <w:top w:val="none" w:sz="0" w:space="0" w:color="auto"/>
        <w:left w:val="none" w:sz="0" w:space="0" w:color="auto"/>
        <w:bottom w:val="none" w:sz="0" w:space="0" w:color="auto"/>
        <w:right w:val="none" w:sz="0" w:space="0" w:color="auto"/>
      </w:divBdr>
    </w:div>
    <w:div w:id="1285967147">
      <w:bodyDiv w:val="1"/>
      <w:marLeft w:val="0"/>
      <w:marRight w:val="0"/>
      <w:marTop w:val="0"/>
      <w:marBottom w:val="0"/>
      <w:divBdr>
        <w:top w:val="none" w:sz="0" w:space="0" w:color="auto"/>
        <w:left w:val="none" w:sz="0" w:space="0" w:color="auto"/>
        <w:bottom w:val="none" w:sz="0" w:space="0" w:color="auto"/>
        <w:right w:val="none" w:sz="0" w:space="0" w:color="auto"/>
      </w:divBdr>
    </w:div>
    <w:div w:id="1457871076">
      <w:bodyDiv w:val="1"/>
      <w:marLeft w:val="0"/>
      <w:marRight w:val="0"/>
      <w:marTop w:val="0"/>
      <w:marBottom w:val="0"/>
      <w:divBdr>
        <w:top w:val="none" w:sz="0" w:space="0" w:color="auto"/>
        <w:left w:val="none" w:sz="0" w:space="0" w:color="auto"/>
        <w:bottom w:val="none" w:sz="0" w:space="0" w:color="auto"/>
        <w:right w:val="none" w:sz="0" w:space="0" w:color="auto"/>
      </w:divBdr>
    </w:div>
    <w:div w:id="1486314849">
      <w:bodyDiv w:val="1"/>
      <w:marLeft w:val="0"/>
      <w:marRight w:val="0"/>
      <w:marTop w:val="0"/>
      <w:marBottom w:val="0"/>
      <w:divBdr>
        <w:top w:val="none" w:sz="0" w:space="0" w:color="auto"/>
        <w:left w:val="none" w:sz="0" w:space="0" w:color="auto"/>
        <w:bottom w:val="none" w:sz="0" w:space="0" w:color="auto"/>
        <w:right w:val="none" w:sz="0" w:space="0" w:color="auto"/>
      </w:divBdr>
    </w:div>
    <w:div w:id="1535315218">
      <w:bodyDiv w:val="1"/>
      <w:marLeft w:val="0"/>
      <w:marRight w:val="0"/>
      <w:marTop w:val="0"/>
      <w:marBottom w:val="0"/>
      <w:divBdr>
        <w:top w:val="none" w:sz="0" w:space="0" w:color="auto"/>
        <w:left w:val="none" w:sz="0" w:space="0" w:color="auto"/>
        <w:bottom w:val="none" w:sz="0" w:space="0" w:color="auto"/>
        <w:right w:val="none" w:sz="0" w:space="0" w:color="auto"/>
      </w:divBdr>
    </w:div>
    <w:div w:id="1540359254">
      <w:bodyDiv w:val="1"/>
      <w:marLeft w:val="0"/>
      <w:marRight w:val="0"/>
      <w:marTop w:val="0"/>
      <w:marBottom w:val="0"/>
      <w:divBdr>
        <w:top w:val="none" w:sz="0" w:space="0" w:color="auto"/>
        <w:left w:val="none" w:sz="0" w:space="0" w:color="auto"/>
        <w:bottom w:val="none" w:sz="0" w:space="0" w:color="auto"/>
        <w:right w:val="none" w:sz="0" w:space="0" w:color="auto"/>
      </w:divBdr>
    </w:div>
    <w:div w:id="1555892873">
      <w:bodyDiv w:val="1"/>
      <w:marLeft w:val="0"/>
      <w:marRight w:val="0"/>
      <w:marTop w:val="0"/>
      <w:marBottom w:val="0"/>
      <w:divBdr>
        <w:top w:val="none" w:sz="0" w:space="0" w:color="auto"/>
        <w:left w:val="none" w:sz="0" w:space="0" w:color="auto"/>
        <w:bottom w:val="none" w:sz="0" w:space="0" w:color="auto"/>
        <w:right w:val="none" w:sz="0" w:space="0" w:color="auto"/>
      </w:divBdr>
    </w:div>
    <w:div w:id="1643736012">
      <w:bodyDiv w:val="1"/>
      <w:marLeft w:val="0"/>
      <w:marRight w:val="0"/>
      <w:marTop w:val="0"/>
      <w:marBottom w:val="0"/>
      <w:divBdr>
        <w:top w:val="none" w:sz="0" w:space="0" w:color="auto"/>
        <w:left w:val="none" w:sz="0" w:space="0" w:color="auto"/>
        <w:bottom w:val="none" w:sz="0" w:space="0" w:color="auto"/>
        <w:right w:val="none" w:sz="0" w:space="0" w:color="auto"/>
      </w:divBdr>
    </w:div>
    <w:div w:id="1921406743">
      <w:bodyDiv w:val="1"/>
      <w:marLeft w:val="0"/>
      <w:marRight w:val="0"/>
      <w:marTop w:val="0"/>
      <w:marBottom w:val="0"/>
      <w:divBdr>
        <w:top w:val="none" w:sz="0" w:space="0" w:color="auto"/>
        <w:left w:val="none" w:sz="0" w:space="0" w:color="auto"/>
        <w:bottom w:val="none" w:sz="0" w:space="0" w:color="auto"/>
        <w:right w:val="none" w:sz="0" w:space="0" w:color="auto"/>
      </w:divBdr>
    </w:div>
    <w:div w:id="1926528303">
      <w:bodyDiv w:val="1"/>
      <w:marLeft w:val="0"/>
      <w:marRight w:val="0"/>
      <w:marTop w:val="0"/>
      <w:marBottom w:val="0"/>
      <w:divBdr>
        <w:top w:val="none" w:sz="0" w:space="0" w:color="auto"/>
        <w:left w:val="none" w:sz="0" w:space="0" w:color="auto"/>
        <w:bottom w:val="none" w:sz="0" w:space="0" w:color="auto"/>
        <w:right w:val="none" w:sz="0" w:space="0" w:color="auto"/>
      </w:divBdr>
    </w:div>
    <w:div w:id="2068872610">
      <w:bodyDiv w:val="1"/>
      <w:marLeft w:val="0"/>
      <w:marRight w:val="0"/>
      <w:marTop w:val="0"/>
      <w:marBottom w:val="0"/>
      <w:divBdr>
        <w:top w:val="none" w:sz="0" w:space="0" w:color="auto"/>
        <w:left w:val="none" w:sz="0" w:space="0" w:color="auto"/>
        <w:bottom w:val="none" w:sz="0" w:space="0" w:color="auto"/>
        <w:right w:val="none" w:sz="0" w:space="0" w:color="auto"/>
      </w:divBdr>
    </w:div>
    <w:div w:id="213767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25418-civillikums" TargetMode="External"/><Relationship Id="rId13" Type="http://schemas.openxmlformats.org/officeDocument/2006/relationships/hyperlink" Target="mailto:Vita.Bruzas@vni.lv"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lona.Beilo@vid.gov.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ira.stempere@fm.gov.lv"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andzela.apercoje@fm.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25418-civillikums" TargetMode="Externa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F94FD1-73B2-497C-BA22-53707AA4A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5</Pages>
  <Words>2136</Words>
  <Characters>15401</Characters>
  <Application>Microsoft Office Word</Application>
  <DocSecurity>0</DocSecurity>
  <Lines>128</Lines>
  <Paragraphs>35</Paragraphs>
  <ScaleCrop>false</ScaleCrop>
  <HeadingPairs>
    <vt:vector size="2" baseType="variant">
      <vt:variant>
        <vt:lpstr>Title</vt:lpstr>
      </vt:variant>
      <vt:variant>
        <vt:i4>1</vt:i4>
      </vt:variant>
    </vt:vector>
  </HeadingPairs>
  <TitlesOfParts>
    <vt:vector size="1" baseType="lpstr">
      <vt:lpstr>Par Ministru kabineta noteikumu projektu "Grozījumi Ministru kabineta 2013.gada 2.jūlija noteikumos Nr. 364 "Noteikumi par zvērināta tiesu izpildītāja rīcību ar bezmantinieku mantu"" </vt:lpstr>
    </vt:vector>
  </TitlesOfParts>
  <Company>Finanšu ministrija</Company>
  <LinksUpToDate>false</LinksUpToDate>
  <CharactersWithSpaces>17502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Ministru kabineta noteikumu projektu "Grozījumi Ministru kabineta 2013.gada 2.jūlija noteikumos Nr. 364 "Noteikumi par zvērināta tiesu izpildītāja rīcību ar bezmantinieku mantu"" </dc:title>
  <dc:subject>Atzinums</dc:subject>
  <dc:creator/>
  <dc:description/>
  <cp:lastModifiedBy>Evija Timpare</cp:lastModifiedBy>
  <cp:revision>6</cp:revision>
  <cp:lastPrinted>2007-06-25T10:49:00Z</cp:lastPrinted>
  <dcterms:created xsi:type="dcterms:W3CDTF">2021-05-13T10:15:00Z</dcterms:created>
  <dcterms:modified xsi:type="dcterms:W3CDTF">2021-11-09T14:45:00Z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