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1.1.2. specifiskā atbalsta mērķa “Prasmju attīstīšana viedās specializācijas,  industriālās pārejas un uzņēmējdarbības veicināšanai” 1.1.2.1. pasākuma "RIS3 industriālās prasmes"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mazo un vidējo uzņēmumu (mazo un vidējo saimnieciskās darbības veicēju) nodarbināto dalībnieku skaits, kuri pabeidz mācības prasmju attīstīšanai gudras specializācijas, rūpniecības pārejas un uzņēmējdarbības jomā – 390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un vidējo saimnieciskās darbības veicēju nodarbināto dalībnieku skaits, kuri pabeidz mācības prasmju attīstīšanai gudras specializācijas, rūpniecības pārejas un uzņēmējdarbības jomā – 390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Sadarbības iestāde saskaņā ar atbildīgās iestādes izstrādāto papildinošas saimnieciskās darbības uzraudzības metodiku nodrošina veikto investīciju atbilstības uzraudzību visā projekta dzīves ciklā saskaņā ar šo noteikumu </w:t>
            </w:r>
            <w:r w:rsidR="00000000" w:rsidRPr="00000000" w:rsidDel="00000000">
              <w:rPr>
                <w:rtl w:val="0"/>
              </w:rPr>
              <w:t xml:space="preserve">27.</w:t>
            </w:r>
            <w:r w:rsidR="00000000" w:rsidRPr="00000000" w:rsidDel="00000000">
              <w:rPr>
                <w:rtl w:val="0"/>
              </w:rPr>
              <w:t xml:space="preserve">punkta nosacījumiem. Finansējuma saņēmējs un sadarbības partneri visā projekta dzīves ciklā katru gadu sagatavo pārskatu par papildinošas saimnieciskās darbības apjomu un nodrošina šajā punktā minēto pārskatu un aprēķinus pamatojošo dokumentu pieejamību papildinošas saimnieciskās darbības uzraudzībai. Ja finansējuma saņēmējs vai sadarbības partneris konstatē, ka ir pārsniegts šo noteikumu </w:t>
            </w:r>
            <w:r w:rsidR="00000000" w:rsidRPr="00000000" w:rsidDel="00000000">
              <w:rPr>
                <w:rtl w:val="0"/>
              </w:rPr>
              <w:t xml:space="preserve">27.</w:t>
            </w:r>
            <w:r w:rsidR="00000000" w:rsidRPr="00000000" w:rsidDel="00000000">
              <w:rPr>
                <w:rtl w:val="0"/>
              </w:rPr>
              <w:t xml:space="preserve">punktā minētais 20 procentu ierobežojums no infrastruktūras gada jaudas platības,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nosacījumu pārkāpumu. Šādā gadījumā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28. punktā norādīta atsauce uz nesaistošiem dokumentiem (metodiku). Ņemot vērā minēto, lūdzam svītrot atsauci uz nesaistošiem dokumentiem (metodiku)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iestāde nodrošina veikto investīciju atbilstības uzraudzību visā projekta dzīves ciklā saskaņā ar šo noteikumu </w:t>
            </w:r>
            <w:r w:rsidR="00000000" w:rsidRPr="00000000" w:rsidDel="00000000">
              <w:rPr>
                <w:rtl w:val="0"/>
              </w:rPr>
              <w:t xml:space="preserve">27.</w:t>
            </w:r>
            <w:r w:rsidR="00000000" w:rsidRPr="00000000" w:rsidDel="00000000">
              <w:rPr>
                <w:rtl w:val="0"/>
              </w:rPr>
              <w:t xml:space="preserve">punkta nosacījumiem. Finansējuma saņēmējs un sadarbības partneri visā projekta dzīves ciklā katru gadu sagatavo pārskatu par papildinošas saimnieciskās darbības apjomu un nodrošina šajā punktā minēto pārskatu un aprēķinus pamatojošo dokumentu pieejamību papildinošas saimnieciskās darbības uzraudzībai. Ja finansējuma saņēmējs vai sadarbības partneris konstatē, ka ir pārsniegts šo noteikumu </w:t>
            </w:r>
            <w:r w:rsidR="00000000" w:rsidRPr="00000000" w:rsidDel="00000000">
              <w:rPr>
                <w:rtl w:val="0"/>
              </w:rPr>
              <w:t xml:space="preserve">27.</w:t>
            </w:r>
            <w:r w:rsidR="00000000" w:rsidRPr="00000000" w:rsidDel="00000000">
              <w:rPr>
                <w:rtl w:val="0"/>
              </w:rPr>
              <w:t xml:space="preserve">punktā minētais 20 procentu ierobežojums no infrastruktūras gada jaudas platības,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nosacījumu pārkāpumu. Šādā gadījumā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un sadarbības partneris nodrošina komunikācijas un vizuālās identitātes prasību nodrošināšanas pasākumus saskaņā ar regulas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39. punktā norādīta atsauce uz nesaistošiem dokumentiem (vadlīnijām). Ņemot vērā minēto, lūdzam visā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nodrošina komunikācijas un vizuālās identitātes prasību nodrošināšanas pasākumus saskaņā ar regulas 2021/1060 47. un 50. pantu un normatīvajiem aktiem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8., 8.1.8., 8.1.9., 8.1.10., 8.1.12., un 8.2. sadaļu ar informāciju par pasākuma 1.1.2.1.  ietekmi uz horizontālo principu “Vienlīdzība, iekļaušana, nediskriminācija un pamattiesību ievērošana” (turpmāk - HP) atbilstoši Labklājības ministrijas un Tieslietu ministrijas izstrādātajām vadlīnijām horizontālā principa “Vienlīdzība, iekļaušana, nediskriminācija un pamattiesību ievērošana” īstenošanai un uzraudzībai (turpmāk - vadlīnijas) (skatīt šeit: https://www.lm.gov.lv/lv/vadlinijas-horizontala-principa-vienlidziba-ieklausana-nediskriminacija-un-pamattiesibu-ieverosana-istenosanai-un-uzraudzibai-2021-2027, skat.vadlīniju 5.3. sadaļu "MK noteikumu anotācijas aizpildīšana"), iekļaujot vismaz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SAM/pasākuma ietekmi uz HP (saskaņā ar vadlīnijām 1.1.2.1.  pasākumam ir netieša ietekme uz HP (skat. vadlīniju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vispārīgām un specifiskām HP darbībām, kuras ir jāparedz SAM ietvaros (skat. vispārīgo un specifisko HP darbību piemērus vadlīniju 7. sadaļā) un kas novērš diskrimināciju, veicina dzimumu līdztiesību, nodrošina piekļūstamību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rādītājiem (skat. vadlīniju 4.pielikumu).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projektu saskaņot ar Labklājības ministriju, ņemot vērā, ka atbilstoši Ministru kabineta 2021. gada 7. septembra noteikumu Nr. 606 "Ministru kabineta kārtības rullis" 52.1.3.</w:t>
            </w:r>
            <w:r w:rsidR="00000000" w:rsidRPr="00000000" w:rsidDel="00000000">
              <w:rPr>
                <w:vertAlign w:val="superscript"/>
                <w:rtl w:val="0"/>
              </w:rPr>
              <w:t xml:space="preserve">1</w:t>
            </w:r>
            <w:r w:rsidR="00000000" w:rsidRPr="00000000" w:rsidDel="00000000">
              <w:rPr>
                <w:rtl w:val="0"/>
              </w:rPr>
              <w:t xml:space="preserve">apakšpunktam tiesību aktu projekti Eiropas Savienības fondu jomā, kas skar horizontālo principu "Vienlīdzība, iekļaušana, nediskriminācija un pamattiesību ievērošana", īstenojot pasākumus Eiropas Reģionālās attīstības fonda, Eiropas Sociālā fonda Plus, Kohēzijas fonda, Taisnīgas pārkārtošanās fonda, Patvēruma, migrācijas un integrācijas fonda, Iekšējās drošības fonda un Finansiāla atbalsta instrumenta robežu pārvaldībai un vīzu politikai, ir obligāti saskaņojami ar Labklājības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w:t>
    </w:r>
    <w:r>
      <w:br/>
    </w:r>
    <w:r w:rsidR="00000000" w:rsidRPr="00000000" w:rsidDel="00000000">
      <w:rPr>
        <w:rtl w:val="0"/>
      </w:rPr>
      <w:t xml:space="preserve">Izdrukāts 22.04.2025.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w:t>
    </w:r>
    <w:r>
      <w:br/>
    </w:r>
    <w:r w:rsidR="00000000" w:rsidRPr="00000000" w:rsidDel="00000000">
      <w:rPr>
        <w:rtl w:val="0"/>
      </w:rPr>
      <w:t xml:space="preserve">Izdrukāts 22.04.2025.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Atzinumi_25-TA-274.docx</dc:title>
</cp:coreProperties>
</file>

<file path=docProps/custom.xml><?xml version="1.0" encoding="utf-8"?>
<Properties xmlns="http://schemas.openxmlformats.org/officeDocument/2006/custom-properties" xmlns:vt="http://schemas.openxmlformats.org/officeDocument/2006/docPropsVTypes"/>
</file>