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atbalstāmās mācību jomas un programmas noteiks Ekonomikas ministrija izveidota komisija. Aicinām precizēt, ka mācību vajadzības tiks apstiprinātas Apvienotā pieaugušo izglītības koordinācijas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 (Lāsma Anspoka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atbalsts tiek sniegts un izmaksas attiecināmas par atbalstu mācībām un ārpus formālās izglītības sistēmas apgūtās profesionālās kompetences novērtēšanai lauksaimniecības nozares (NACE 2. red. A sadaļas 01.1.-01.6. grupa), kūdras ieguves nozares (NACE 2. red. B sadaļas 08.92. klase), elektroenerģijas, gāzes apgādes, siltumapgādes un gaisa kondicionēšanas nozares (NACE 2. red. D sadaļa), ūdens apgādes, notekūdeņu, atkritumu apsaimniekošanas nozares (NACE 2. red. E sadaļas 36.-38.nodaļa), transporta nozares (NACE 2. red. H sadaļas 49.1.- 49.4. grupa) transformācijai nepieciešamo prasmju un kvalifikāciju iegūšanai.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noteikumu projekta 27. punktu, ņemot vērā, ka 2025. gada 1. janvārī stājas spēkā Saimniecisko darbību statistiskā klasifikācija Eiropas Kopienā (NACE), 2.1.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 (Lāsma Anspoka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