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"70. Šā likuma 1. panta pirmās daļas 7. punkta “n” apakšpunkts, 7. panta pirmās daļas 8.</w:t>
            </w:r>
            <w:r w:rsidR="00000000" w:rsidRPr="00000000" w:rsidDel="00000000">
              <w:rPr>
                <w:vertAlign w:val="superscript"/>
                <w:rtl w:val="0"/>
              </w:rPr>
              <w:t xml:space="preserve">1</w:t>
            </w:r>
            <w:r w:rsidR="00000000" w:rsidRPr="00000000" w:rsidDel="00000000">
              <w:rPr>
                <w:rtl w:val="0"/>
              </w:rPr>
              <w:t xml:space="preserve"> punkts, 22. panta otrās daļas 4.</w:t>
            </w:r>
            <w:r w:rsidR="00000000" w:rsidRPr="00000000" w:rsidDel="00000000">
              <w:rPr>
                <w:vertAlign w:val="superscript"/>
                <w:rtl w:val="0"/>
              </w:rPr>
              <w:t xml:space="preserve">1</w:t>
            </w:r>
            <w:r w:rsidR="00000000" w:rsidRPr="00000000" w:rsidDel="00000000">
              <w:rPr>
                <w:rtl w:val="0"/>
              </w:rPr>
              <w:t xml:space="preserve"> punkts, 25.</w:t>
            </w:r>
            <w:r w:rsidR="00000000" w:rsidRPr="00000000" w:rsidDel="00000000">
              <w:rPr>
                <w:vertAlign w:val="superscript"/>
                <w:rtl w:val="0"/>
              </w:rPr>
              <w:t xml:space="preserve">2</w:t>
            </w:r>
            <w:r w:rsidR="00000000" w:rsidRPr="00000000" w:rsidDel="00000000">
              <w:rPr>
                <w:rtl w:val="0"/>
              </w:rPr>
              <w:t xml:space="preserve"> pants, kā arī grozījumi par 3. panta pirmās daļas 11. punkta izslēgšanu, 7. panta pirmās daļas 10. punkta papildināšanu pēc vārdiem "naudas iestādes" ar vārdiem "ieguldījumu brokeru sabiedrības un kriptoaktīvu pakalpojumu sniedzēji, izņemot gadījumus, kad ir pieņemts uzraudzības un kontroles institūcijas lēmums par audita funkcijas nepiemērošanu, un", 18. panta septītās daļas, 18.</w:t>
            </w:r>
            <w:r w:rsidR="00000000" w:rsidRPr="00000000" w:rsidDel="00000000">
              <w:rPr>
                <w:vertAlign w:val="superscript"/>
                <w:rtl w:val="0"/>
              </w:rPr>
              <w:t xml:space="preserve">1</w:t>
            </w:r>
            <w:r w:rsidR="00000000" w:rsidRPr="00000000" w:rsidDel="00000000">
              <w:rPr>
                <w:rtl w:val="0"/>
              </w:rPr>
              <w:t xml:space="preserve"> panta otrās daļas, 18.</w:t>
            </w:r>
            <w:r w:rsidR="00000000" w:rsidRPr="00000000" w:rsidDel="00000000">
              <w:rPr>
                <w:vertAlign w:val="superscript"/>
                <w:rtl w:val="0"/>
              </w:rPr>
              <w:t xml:space="preserve">2</w:t>
            </w:r>
            <w:r w:rsidR="00000000" w:rsidRPr="00000000" w:rsidDel="00000000">
              <w:rPr>
                <w:rtl w:val="0"/>
              </w:rPr>
              <w:t xml:space="preserve"> panta otrās daļas un 18.</w:t>
            </w:r>
            <w:r w:rsidR="00000000" w:rsidRPr="00000000" w:rsidDel="00000000">
              <w:rPr>
                <w:vertAlign w:val="superscript"/>
                <w:rtl w:val="0"/>
              </w:rPr>
              <w:t xml:space="preserve">5</w:t>
            </w:r>
            <w:r w:rsidR="00000000" w:rsidRPr="00000000" w:rsidDel="00000000">
              <w:rPr>
                <w:rtl w:val="0"/>
              </w:rPr>
              <w:t xml:space="preserve"> panta piektās daļas papildināšanu pēc skaitļa un vārda "1. panta" ar vārdiem "pirmās daļas", 24. panta pirmās daļas izteikšanu jaunā redakcijā un 45. panta pirmās daļas 1. punkta papildināšanu pēc vārdiem "maksājumu iestādes" ar vārdiem "kriptoaktīvu pakalpojumu sniedzējus" stājas spēkā 2024. gada 30. decembrī.</w:t>
            </w:r>
            <w:r w:rsidR="00000000" w:rsidRPr="00000000" w:rsidDel="00000000">
              <w:rPr>
                <w:rtl w:val="0"/>
              </w:rPr>
              <w:t xml:space="preserve">71. Kriptoaktīvu pakalpojumu sniedzējs, kuru atbilstoši šā likuma 45. panta otrās daļas 6. punkta "e" apakšpunktam uzrauga Valsts ieņēmumu dienests, no 2024. gada 30. decembra iesniedz Latvijas Bankai pieteikumu par atļaujas izsniegšanu kriptoaktīvu pakalpojumu sniegšanai saskaņā ar Eiropas Parlamenta un Padomes 2023. gada 31. maija Regulas (ES) 2023/1114 par kriptoaktīvu tirgiem un ar ko groza Regulas (ES) Nr. 1093/2010 un (ES) Nr. 1095/2010 un Direktīvas 2013/36/ES un (ES) 2019/1937 (turpmāk - Regula Nr. 2023/1114) prasībām.</w:t>
            </w:r>
            <w:r w:rsidR="00000000" w:rsidRPr="00000000" w:rsidDel="00000000">
              <w:rPr>
                <w:rtl w:val="0"/>
              </w:rPr>
              <w:t xml:space="preserve">72. Kriptoaktīvu pakalpojumu sniedzējs, kurš ir uzsācis sniegt kriptoaktīvu pakalpojumus saskaņā ar šā likuma prasībām pirms 2024. gada 30. decembra un kuru atbilstoši šā likuma 45. panta otrās daļas 6. punkta "e" apakšpunktam uzrauga Valsts ieņēmumu dienests, var turpināt sniegt kriptoaktīvu pakalpojumus līdz 2025. gada 30. jūnijam vai līdz dienai, kad Latvijas Banka tam ir izsniegusi vai atteikusi izsniegt atļauju kriptoaktīvu pakalpojumu sniegšanai saskaņā ar Regulas Nr. 2023/1114 prasībām. Uz šādu kriptoaktīvu pakalpojumu sniedzēju nav attiecināmas šajā likumā noteiktās finanšu iestāžu tiesības un pienākumi.</w:t>
            </w:r>
            <w:r w:rsidR="00000000" w:rsidRPr="00000000" w:rsidDel="00000000">
              <w:rPr>
                <w:rtl w:val="0"/>
              </w:rPr>
              <w:t xml:space="preserve">73. Valsts ieņēmumu dienests turpina kriptoaktīvu pakalpojuma sniedzēju, kurš ir uzsācis sniegt kriptoaktīvu pakalpojumus saskaņā ar šā likuma prasībām pirms 2024. gada 30. decembra, uzraudzību atbilstoši šim likumam līdz dienai, kad Latvijas Banka ir tam izsniegusi vai atteikusi izsniegt atļauju kriptoaktīvu pakalpojumu sniegšanai saskaņā ar Regulas Nr. 2023/1114 prasībām, bet ne ilgāk kā līdz 2025. gada 30. jūnijam. Valsts ieņēmumu dienests no 2024. gada 30 .decembra nereģistrē jaunus kriptoaktīvu pakalpojumu sniedzējus."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vai precizēt projekta 10. pantā ietverto Noziedzīgi iegūtu līdzekļu legalizācijas un terorisma un proliferācijas finansēšanas novēršanas likuma (turpmāk - likums) pārejas noteikumu 72. punkta pirmo teikumu, ņemot vērā to, ka tas dublē saistītā likumprojekta "Kriptoaktīvu pakalpojumu likums" pārejas noteikumu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izziņā (sk. 2. punktu) un anotācijas 1.3. sadaļā un 5.4. sadaļas 1. tabulā norādītās informācijas izriet, ka likumprojekta 7. pantā ietvertā likuma 24. panta pirmās daļas izteikšana jaunā redakcijā paredzēta, lai pārņemtu</w:t>
            </w:r>
            <w:r w:rsidR="00000000" w:rsidRPr="00000000" w:rsidDel="00000000">
              <w:rPr>
                <w:i w:val="1"/>
                <w:rtl w:val="0"/>
              </w:rPr>
              <w:t xml:space="preserve"> Eiropas Parlamenta un Padomes 2023.gada 31.maija Regulas (ES) 2023/1113 par līdzekļu un konkrētu kriptoaktīvu pārvedumiem pievienoto informāciju un ar ko groza Direktīvu (ES) 2015/849</w:t>
            </w:r>
            <w:r w:rsidR="00000000" w:rsidRPr="00000000" w:rsidDel="00000000">
              <w:rPr>
                <w:rtl w:val="0"/>
              </w:rPr>
              <w:t xml:space="preserve"> 38. panta 4. punktā ietverto </w:t>
            </w:r>
            <w:r w:rsidR="00000000" w:rsidRPr="00000000" w:rsidDel="00000000">
              <w:rPr>
                <w:i w:val="1"/>
                <w:rtl w:val="0"/>
              </w:rPr>
              <w:t xml:space="preserve">Eiropas Parlamenta un Padomes 2015.gada 20.maija direktīvas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 </w:t>
            </w:r>
            <w:r w:rsidR="00000000" w:rsidRPr="00000000" w:rsidDel="00000000">
              <w:rPr>
                <w:rtl w:val="0"/>
              </w:rPr>
              <w:t xml:space="preserve">(turpmāk - Direktīva 2015/849) 19.b pantu. Lūdzam izvērtēt un anotācijā sniegt pamatojumu par minētā grozījuma atbilstību Direktīvai 2015/849, īpaši ņemot vērā, ka 19.b pants attiecas tieši uz kriptoaktīvu pakalpojumu sniedzējiem, nevis kredītiestādēm un finanšu iestādēm kopumā. Turklāt pašreiz spēkā esošās likuma redakcijas 24. pantā, šķiet, ir pārņemts Direktīvas 2015/849 19. pants. Ja, likuma 24. panta pirmo daļu izsakot jaunā redakcijā, tajā tiek pārņemtas gan Direktīvas 2015/849 19. panta, gan 19.b panta prasības, lūdzam sniegt skaidrojumu (piemēram, anotācijas 5.4. sadaļas 1. tabulā), vai netiek noteiktas stingrākas prasības attiecībā uz kredītiestādēm un finanšu iestādēm, kas nav kriptoaktīvu pakalpojumu sniedzēji. Ja tiek noteiktas stingrākas prasības, nekā paredz Direktīva 2015/849, aicinām sniegt attiecīgu pamatojumu. Tā kā likuma 24. pants tiek izteikts jaunā redakcijā, aicinām arī anotācijas 1.3. sadaļā sniegt skaidrojumu, kas tieši pantā ir precizēts vai papildināts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23-TA-3261</w:t>
    </w:r>
    <w:r>
      <w:br/>
    </w:r>
    <w:r w:rsidR="00000000" w:rsidRPr="00000000" w:rsidDel="00000000">
      <w:rPr>
        <w:rtl w:val="0"/>
      </w:rPr>
      <w:t xml:space="preserve">Izdrukāts 16.04.2024. 19.40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23-TA-3261</w:t>
    </w:r>
    <w:r>
      <w:br/>
    </w:r>
    <w:r w:rsidR="00000000" w:rsidRPr="00000000" w:rsidDel="00000000">
      <w:rPr>
        <w:rtl w:val="0"/>
      </w:rPr>
      <w:t xml:space="preserve">Izdrukāts 16.04.2024. 19.40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Atzinumi_23-TA-3261.docx</dc:title>
</cp:coreProperties>
</file>

<file path=docProps/custom.xml><?xml version="1.0" encoding="utf-8"?>
<Properties xmlns="http://schemas.openxmlformats.org/officeDocument/2006/custom-properties" xmlns:vt="http://schemas.openxmlformats.org/officeDocument/2006/docPropsVTypes"/>
</file>