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1.4. apakšpunktu arī ar sadarbības partneriem, ņemot vērā, ka tos ir plānots piesaistīt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patvēruma meklētāji un personas ar bēgļa vai alternatīvo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 punktā norādīto mērķa grupu, iekļaujot arī personas, kurām piešķirta pagaidu aizsardzība, atbilstoši MK noteikumu projekta 8.punktā norādītajam rezultāta rādītājam, kā arī, atbilstoši anotācijā minētajam, papildinot ar nosacījumu par patvēruma meklētāju un personas ar bēgļa vai alternatīvo statusu iegūšanas nosacījumiem, t.i., - kas nepārsniedz 12 mēnešus pēc šī statusa iegūšanas dienas, pēc patvēruma lūguma izskatīšanas perioda, kas var ilgt no trīs līdz 12 mēnešiem.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4.3.4. SAM rādītāju metodoloģijas aprakstā attiecībā uz šo rādītāju ir norādīts, ka 4.3.4.8. pasākuma ietvaros minētā rādītāja sasniedzamā vērtība ir 7, kurā plānots uzskaitīt 7 iestādēs: Sabiedrības integrācijas fonds (SIF) kā vienas pieturas aģentūras administrētājs; SIF kā Latvijas NVO fonda administrējošā iestāde; 5 NVO atbalsta centri: Latvijas Pilsoniskā alianse, Dienvidlatgales NVO atbalsta centrs, Kurzemes NVO centrs, Zemgales NVO centrs, Valmieras novada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daļa no norādītās rādītāja vērtības ir sasniedzama 4.3.4.9. pasākuma ietvaros, lūdzam aktualizēt un iesūtīt precizētu 4.3.4. 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411 793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nacionālais finansējums (valsts budžeta līdzfinansējums) – ne mazāk kā 391 500 </w:t>
            </w:r>
            <w:r w:rsidR="00000000" w:rsidRPr="00000000" w:rsidDel="00000000">
              <w:rPr>
                <w:i w:val="1"/>
                <w:rtl w:val="0"/>
              </w:rPr>
              <w:t xml:space="preserve">euro </w:t>
            </w:r>
            <w:r w:rsidR="00000000" w:rsidRPr="00000000" w:rsidDel="00000000">
              <w:rPr>
                <w:rtl w:val="0"/>
              </w:rPr>
              <w:t xml:space="preserve">(tai skaitā elastības finansējuma apjoms – 61 769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elastības finansējuma apjomu. Atbilstoši Programmas pielikumam 4.3.4.8.pasākumam elastības finansējums ir 411 792 euro, tai skaitā ESF+ finansējums 350 024 euro un valsts budžeta līdzfinansējums 61 768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2 610 000 </w:t>
            </w:r>
            <w:r w:rsidR="00000000" w:rsidRPr="00000000" w:rsidDel="00000000">
              <w:rPr>
                <w:i w:val="1"/>
                <w:rtl w:val="0"/>
              </w:rPr>
              <w:t xml:space="preserve">euro </w:t>
            </w:r>
            <w:r w:rsidR="00000000" w:rsidRPr="00000000" w:rsidDel="00000000">
              <w:rPr>
                <w:rtl w:val="0"/>
              </w:rPr>
              <w:t xml:space="preserve">(tai skaitā elastības finansējuma apjoms – 411 793 </w:t>
            </w:r>
            <w:r w:rsidR="00000000" w:rsidRPr="00000000" w:rsidDel="00000000">
              <w:rPr>
                <w:i w:val="1"/>
                <w:rtl w:val="0"/>
              </w:rPr>
              <w:t xml:space="preserve">euro</w:t>
            </w:r>
            <w:r w:rsidR="00000000" w:rsidRPr="00000000" w:rsidDel="00000000">
              <w:rPr>
                <w:rtl w:val="0"/>
              </w:rPr>
              <w:t xml:space="preserve">), tai skaitā ESF+ finansējums – 2 218 500 </w:t>
            </w:r>
            <w:r w:rsidR="00000000" w:rsidRPr="00000000" w:rsidDel="00000000">
              <w:rPr>
                <w:i w:val="1"/>
                <w:rtl w:val="0"/>
              </w:rPr>
              <w:t xml:space="preserve">euro </w:t>
            </w:r>
            <w:r w:rsidR="00000000" w:rsidRPr="00000000" w:rsidDel="00000000">
              <w:rPr>
                <w:rtl w:val="0"/>
              </w:rPr>
              <w:t xml:space="preserve">(tai skaitā elastības finansējuma apjoms – 350 024 </w:t>
            </w:r>
            <w:r w:rsidR="00000000" w:rsidRPr="00000000" w:rsidDel="00000000">
              <w:rPr>
                <w:i w:val="1"/>
                <w:rtl w:val="0"/>
              </w:rPr>
              <w:t xml:space="preserve">euro</w:t>
            </w:r>
            <w:r w:rsidR="00000000" w:rsidRPr="00000000" w:rsidDel="00000000">
              <w:rPr>
                <w:rtl w:val="0"/>
              </w:rPr>
              <w:t xml:space="preserve">) un nacionālais finansējums (valsts budžeta līdzfinansējums) – ne mazāk kā 391 500 </w:t>
            </w:r>
            <w:r w:rsidR="00000000" w:rsidRPr="00000000" w:rsidDel="00000000">
              <w:rPr>
                <w:i w:val="1"/>
                <w:rtl w:val="0"/>
              </w:rPr>
              <w:t xml:space="preserve">euro </w:t>
            </w:r>
            <w:r w:rsidR="00000000" w:rsidRPr="00000000" w:rsidDel="00000000">
              <w:rPr>
                <w:rtl w:val="0"/>
              </w:rPr>
              <w:t xml:space="preserve">(tai skaitā elastības finansējuma apjoms – 61 769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"ne mazāk kā" pirms nacionālā līdzfinansējuma summas, ņemot vērā, Eiropas Savienības kohēzijas politikas programmas 2021.- 2027. gadam papildinājumā noteikto plānoto valsts budžeta līdzfinansējuma apjomu (ar elastības finansējumu) – 391 500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 pieejamo finansējumu plāno ne vairāk kā 2 198 207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nacionālo finansējumu – 329 731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īstenošanai pieejamo finansējuma apjomu. Atbilstoši Programmas pielikumam pasākuma īstenošanai pieejamais finansējums līdz Eiropas Komisijas lēmumam par vidusposma pārskatu ir 2 198 208 euro, tai skaitā ESF+ finansējums 1 868 476 euro un valsts budžeta līdzfinansējums 329 732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izmaksas ir attiecināmas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13. punkts nosaka, ka izmaksas ir attiecināmas pirms vienošanās par projekta īstenošanu noslēgšanas, 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IV. nodaļas nosaukumu šādā redakcijā: "Prasības projekta iesniedzējam, finansējuma saņēmējam un sadarbības partneriem", ņemot vērā nodaļas punktos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saņēmēja sadarbības partneri ir Nodrošinājuma valsts aģentūra un Pilsonības un migrācijas lietu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skaidrojot, kādas funkcijas projekta īstenošanā ir plānotas sadarbības partnerim, t.i., kādu atbalstāmo darbību īstenošanai tiks piesaistīti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ar sadarbības partneriem slēdz sadarbības līgumu, kurā iekļauj informāciju atbilstoši normatīvajam aktam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tiek paredzēts, ka tiks slēgts sadarbības līgums ir jāatrunā tā galvenie aspekti (atbildība, funkcijas utt.). Attiecīgi lūdzam papildināt noteikumu projektu. Papildus vēršam uzmanību, ka MK noteikumos nedublē vadības MK noteikumos ietvertos nosacījumus par sadarbības līgumā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un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praktiski tiks nodrošināts, ka vienas un tās pašas darbības netiek finansētas no dažādiem finansējuma avotiem, ievērojot, ka dažāda veida līdzīgi konsultāciju pakalpojumi tiks sniegti vienuviet - Vienas pieturas aģentūrā, kas tiks finansēta no dažādiem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PMIF finansēta projekta Nr. PMIF/13.1./2022/1/01 ietvaros mērķa grupa var saņemt tādus pakalpojums kā sākotnējas konsultācijas viņus interesējošās jomās (piemēram, migrācija, nodarbinātība, izglītība, veselības aprūpe u.c. aktuāli jautājumi) juridisko un psiholoģisko atbalstu, kā arī praktisku palīdzību reālajās dzīves situācijās, t.i., kā šis sniegtais atbalsts atšķirsies un tiks praktiski nodalīts no 4.3.4.8.pasākuma ietvaros sniegtā atbalsta, ievērojot noteikumu projekta 30. un 31. punktā minētos nosacījumus sociālā darbinieka pakalpojumu un sociālā mentora pakalpojumu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 nodaļu, paredzot finansējuma saņēmēja pienākumu uzkrāt datus par noteikumu 8.2.2.punktā norādītajām personām atbilstoši Regulas Nr. 2021/1057 1.pielikumam un reizi gadā iesniegt sadarbības iestādē pārskatu par projekta dalībniekiem atbilstoši normatīvajam aktam par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ir atbalstāma zaļā publiskā iepirkuma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4.3.4.8. pasākuma "Nenodarīt būtisku kaitējumu" novērtējumam paredzēts, ka pasākuma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Zaļā publiskā iepirkuma prasības ir iekļautas arī projektu iesniegumu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plāno ESF+ projekta īstenošanai nepieciešamos finanšu līdzekļus, finansē projekta īstenošanu un maksājumus valsts budžeta iestādei veic saskaņā ar normatīvajiem aktiem par valsts budžeta līdzekļu plānošanu Eiropas Savienības kohēzijas politikas programmas 2021.- 2027. gadam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21.6. apakšpunkta redakciju. Vēršam uzmanību, ka no esošās redakcijas nav saprotams, kādus maksājumus un kādai valsts budžeta iestādi veic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pārējām projekta īstenošanas izmaksām, kas norādītas MK noteikumu projekta 24.3.-24.9., 25. un 26. punktos, piemērot vienoto likmi 40% apmērā, ko aprēķina no 24.1. un 24.2. apakšpunktos norādītajām projekta vadības un īstenošanas personāla izmaksām (saskaņā ar Regulas Nr. 2021/1060 56.panta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finansējuma saņēmēja projekta vadības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finansējuma saņēmēja projekta vadības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projekta vadības personāla nodarbinātības nosacījumus, t.sk. izvērtēt, vai projekta īstenošanai var piesaistīt personālu, kas strādā nepilnu darba laiku, ievērojot, ka noteikumu projekta 25.punktā, kas paredz veselības apdrošināšanas izmaksas, noteikta iespējamība, ka 24.1. apakšpunktā minētais personāls strādā nepilnu darba laiku. Vēršam uzmanību, ka atbilstoši vadlīnijām "Vadlīnijas attiecināmo izmaksu noteikšanai Eiropas Savienības kohēzijas politikas programmas 2021.-2027.gada plānošanas periodā", projekta tiešajās attiecināmajās personāla izmaksās var iekļaut to darbinieku atlīdzības izmaksas (kas minētas šo vadlīniju 7.15.1., 7.15.2.1. un 7.15.3.apakšpunktos), kuri noteiktā laika posmā (vismaz viens mēnesis) ne mazāk kā 30% no normālā darba laika katrā mēnesī veic pienākumus, kas saistīti ar projektu, un tas ir pamatots ar atbilstošiem izmaksas pamatojošiem dokumentiem, piemēram, DLU tabula. </w:t>
            </w:r>
            <w:r w:rsidR="00000000" w:rsidRPr="00000000" w:rsidDel="00000000">
              <w:rPr>
                <w:rtl w:val="0"/>
              </w:rPr>
              <w:t xml:space="preserve">Tāpat uz projekta tiešajām personāla izmaksām var attiecināt normālo (normālo saīsināto) vai nepilnu darba laiku strādājošo darbinieku, kuri uz darba līguma vai rīkojuma pamata strādā tikai projektā, atlīdzības izmaksas.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sociālā darbinieka un sociālā mentora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24.2. apakšpunktu papildināt, ar to, ka sociālie darbinieki un sociālie mentori ir projekta īstenošanas personāls, kā arī lūdzam paredzēt, ka sociālā darbinieka un sociālā mentora personāla izmaksām piemēro vienas vienības izmaksas, atbilstoši atbildīgās iestādes izstrādātai un apstiprinātai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sociālā darbinieka un sociālā mentora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sociālā darbinieka un sociālā mentora nodarbinātības nosacījumus, t.sk. izvērtēt, vai projekta īstenošanai var piesaistīt personālu, kas strādā nepilnu darba laiku, ievērojot, ka noteikumu projekta 25.punktā, kas paredz veselības apdrošināšanas izmaksas, noteikta iespējamība, ka 24.2. apakšpunktā minētais personāls strādā nepilnu darba laiku. Vēršam uzmanību, ka atbilstoši vadlīnijām "Vadlīnijas attiecināmo izmaksu noteikšanai Eiropas Savienības kohēzijas politikas programmas 2021.-2027.gada plānošanas periodā", projekta tiešajās attiecināmajās personāla izmaksās var iekļaut to darbinieku atlīdzības izmaksas (kas minētas šo vadlīniju 7.15.1., 7.15.2.1. un 7.15.3.apakšpunktos), kuri noteiktā laika posmā (vismaz viens mēnesis) ne mazāk kā 30% no normālā darba laika katrā mēnesī veic pienākumus, kas saistīti ar projektu, un tas ir pamatots ar atbilstošiem izmaksas pamatojošiem dokumentiem, piemēram, DLU tabula. </w:t>
            </w:r>
            <w:r w:rsidR="00000000" w:rsidRPr="00000000" w:rsidDel="00000000">
              <w:rPr>
                <w:rtl w:val="0"/>
              </w:rPr>
              <w:t xml:space="preserve">Tāpat uz projekta tiešajām personāla izmaksām var attiecināt normālo (normālo saīsināto) vai nepilnu darba laiku strādājošo darbinieku, kuri uz darba līguma vai rīkojuma pamata strādā tikai projektā,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to, ka projekta īstenošanas personālam (sociālais darbinieks un sociālais mentors) pieļaujama daļlaika noslodze, lūdzam skaidrot, vai šie darbinieki ir SIF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telpu nomas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īstenošanai ir nepieciešamas telpu nomas izmaksas, tai skaitā konkrēti nodalīt, kas ir nepieciešams MK noteikumu projekta 22.1. apakšpunktā minētā pakalpojuma un 22.3. apakšpunktā minētās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telpu nomas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22.3.apakšpunktā minēto atbalstāmo darbību īstenošanai telpu nomas izmaksas iekļaut netiešajās attiecināmajās izmaksās saskaņā ar Finanšu ministrijas vadlīniju Nr.1.1. "Vadlīnijas par vienkāršoto izmaksu izmantošanas iespējām un to piemērošana Eiropas Savienības kohēzijas politikas programmas 2021.–2027.gadam ietvaros" 30.2.apakšpunktu.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Nr.2.1.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9.3. apakšpunktā minēto, ir attiecināmas darba vietas aprīkojuma (biroja mēbeles un tehnika, datorprogrammas un licences, izņemot telpu nomu) iegādes vai nomas izmaksas, tai skaitā aprīkojuma uzturēšanas un remonta izmaksas. Ņemot vērā iepriekš minēto, lūdzam MK noteikumu projekta 24.4. apakšpunktā dzēst darba vietas aprīkojuma </w:t>
            </w:r>
            <w:r w:rsidR="00000000" w:rsidRPr="00000000" w:rsidDel="00000000">
              <w:rPr>
                <w:u w:val="single"/>
                <w:rtl w:val="0"/>
              </w:rPr>
              <w:t xml:space="preserve">atjaunošanas</w:t>
            </w:r>
            <w:r w:rsidR="00000000" w:rsidRPr="00000000" w:rsidDel="00000000">
              <w:rPr>
                <w:rtl w:val="0"/>
              </w:rPr>
              <w:t xml:space="preserve">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 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vei darba vietas aprīkojuma izmaksas nav attiecināmas arī uz projekta vadības personālu, ne tikai īstenošanas personālu, ievērojot, ka apakšpunktā tomēr minētas arī projekta vadības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īstenošanas personāla darba vietas aprīkojuma iegādes, īres, atjaunošanas, uzturēšanas un remonta izmaksas jaunu darba vietu radīšanai vai esošo darba vietu atjaunošanai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projekta īstenošanas personāla darba vietas aprīkojuma iegādes, īres, atjaunošanas, uzturēšanas un remonta izmaksas jaunu darba vietu radīšanai vai esošo darba vietu atjaunošanai plānots attiecināt 4.3.4.8. pasākuma ietvaros, ievērojot anotācijā norādīto informāciju, ka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iekšzemes komandējumu, mācību, darba  braucienu izmaksas plānotā projekta vadības un īstenošanas personālam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 atbilstoši spēkā esošajiem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iekšzemes komandējumu, mācību un darba braucienu izmaksas, kā arī lūdzam skaidrot apakšpunktā minēto mācību braucienu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iekšzemes komandējumu, mācību, darba  braucienu izmaksas plānotā projekta vadības un īstenošanas personālam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 atbilstoši spēkā esošajiem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iekšzemes komandējumu izmaksas ir attiecināmas atbilstoši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pasākuma mācību, semināru, konferenču organizēšanas un ar to saistīto materiālu nodrošināšanas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MK noteikumu projekta 24.6. apakšpunktā minētās izmaksas vai arī svītrot šo apakšpunktu, ja uz pasākuma īstenošanu tas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transporta izmaksas, tai skaitā nomas,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atbalstāmo darbību īstenošanas ietvaros ir attiecināmas transporta, tai skaitā transporta nomas izmaksas, kā arī norādīt, kāda vadošās iestādes izstrādātā vienas vienības izmaksu metodika tiek piemērota minētajām izmaksām. Ja plānots piemērot vadošās iestādes apstiprināto 1 km izmaksu metodiku, tad vēršam uzmanību, ka transporta nomas izmaksas tās ietvaros nav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pievienotās vērtības nodokļa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atbalstāmajām darbībām ir attiecināmas, ja tās nav atgūstamas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vai attiecīgā punkta redakcija nebūtu precizējama, dzēšot nosacījumu "ja tās nav atgūstamas atbilstoši normatīvajiem aktiem nodokļu politikas jomā" un papildinot ar Regulas Nr.2021/1060 attiecīgo pantu. Vienlaikus, ja gadījumā tiek izmantots vienkāršots PVN līdzekļu attiecināšanas princips projektiem, kuru kopējās izmaksas ir mazākas par 5 milj. EUR (ieskaitot PVN), tad lūdzam anotācijā sniegt informāciju,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punktu par PVN izmaksām izteikt kā atsevišķu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uzkrāj datus par atbalstu saņēmušām personām saskaņā ar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sociālā mentora pakalpojuma sniegšanas laiks var tikt pagarināts līdz 24 mēnešiem, ja šādu nepieciešamību nosaka sociālā mentora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sociālā mentora pakalpojuma sniegšanas laika pagarināšanas nepieciešamību pamato </w:t>
            </w:r>
            <w:r w:rsidR="00000000" w:rsidRPr="00000000" w:rsidDel="00000000">
              <w:rPr>
                <w:u w:val="single"/>
                <w:rtl w:val="0"/>
              </w:rPr>
              <w:t xml:space="preserve">sociālā darbinieka</w:t>
            </w:r>
            <w:r w:rsidR="00000000" w:rsidRPr="00000000" w:rsidDel="00000000">
              <w:rPr>
                <w:rtl w:val="0"/>
              </w:rPr>
              <w:t xml:space="preserve"> atzinums. Lūdzam saskaņot anotācijā un MK noteikumu projekta 31.3. apakšpunktā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sadarbības iestāde lēmumu par projekta iesnieguma apstiprināšanu, apstiprināšanu ar nosacījumu vai noraidīšanu pieņem divu mēnešu laikā pēc projekta iesnieguma iesniegšanas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31.4. apakšpunktu izteikt kā jaunu punktu, ievērojot, ka tā saturs neattiecas uz sociālā mentora pakalpojumu īstenošanas kārtību. Vienlaikus, ievērojot to, ka šajā apakšpunktā noteikts, ka lēmums par projekta iesnieguma apstiprināšanu, apstiprināšanu ar nosacījumu vai noraidīšanu jāpieņem mazāk nekā 3 mēnešu laikā, lūdzam anotācijā iekļaut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iesnieguma vērtēšanā piedalās viens atbildīgās iestādes pārstāvis, viens Labklājības ministrijas pārstāvis un sadarbības iestādes pārstāvji, novērotāju statusā piedalās Finanšu ministrijas kā vadošās iestādes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32.punktu. Vēršam uzmanību, ka projektu iesniegumu vērtēšanas komisijas sastāvs noteikts Eiropas Savienības fondu 2021.-2027. gada plānošanas perioda vadības likuma 21.pantā.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informāciju, ka: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lūdzam papildināt anotāciju ar skaidrojumu par to, kā šīs darbības ir saistītas ar Nodrošinājuma valsts aģentūras un Pilsonības un migrācijas lietu pārvaldes valsts deleģētajām funkcijām, kā arī norādi uz normatīvo aktu, kurā ir noteiktas minētās funkcijas, kuras šī pasākuma ietvaros attiecīgi tiek 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"un finansējuma saņēmējam", ņemot vērā noteikumu projekta 17.punktā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atbildīgās iestādes funkcijas pilda Kultūras ministrija (turpmāk – atbildīgā iestāde) un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funkciju veikšanu Centrālajai finanšu un līgumu aģentūrai nosaka Eiropas Savienības fondu 2021.—2027. gada plānošanas perioda vadības likums, ierosinām svītrot punkta daļu "un sadarbības iestādes funkcijas veic Centrālā finanšu un līgumu aģentūra (turpmāk –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rezultāta rādītājs: Patvēruma meklētāji un starptautiskās aizsardzības saņēmēji, kuriem veicināta sociālekonomiskā iekļaušana – 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pasākumam nosakāms starpposma rezultāta rādītājs, ievērojot to, ka starpposma rādītāju sasniedzamās vērtības nepieciešams noradīt tika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 pieejamo finansējumu plāno ne vairāk kā 2 198 207 </w:t>
            </w:r>
            <w:r w:rsidR="00000000" w:rsidRPr="00000000" w:rsidDel="00000000">
              <w:rPr>
                <w:i w:val="1"/>
                <w:rtl w:val="0"/>
              </w:rPr>
              <w:t xml:space="preserve">euro </w:t>
            </w:r>
            <w:r w:rsidR="00000000" w:rsidRPr="00000000" w:rsidDel="00000000">
              <w:rPr>
                <w:rtl w:val="0"/>
              </w:rPr>
              <w:t xml:space="preserve">apmērā, tai skaitā ESF+ finansējumu – 1 868 476 </w:t>
            </w:r>
            <w:r w:rsidR="00000000" w:rsidRPr="00000000" w:rsidDel="00000000">
              <w:rPr>
                <w:i w:val="1"/>
                <w:rtl w:val="0"/>
              </w:rPr>
              <w:t xml:space="preserve">euro </w:t>
            </w:r>
            <w:r w:rsidR="00000000" w:rsidRPr="00000000" w:rsidDel="00000000">
              <w:rPr>
                <w:rtl w:val="0"/>
              </w:rPr>
              <w:t xml:space="preserve">apmērā un nacionālo finansējumu – 329 731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"projektu iesniegumos" ar vārdiem "projekta iesniegumā", ievērojot, ka atlases ietvaros plānots tikai viens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attiecināmais ESF+ finansējuma apmērs ir 85 procenti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"ir 85 procenti" ar vārdu "nepārsniedz 85 procentus" vai izteikt punktu redakcijā, kas piedāvāts vadlīnijās Nr. 1.4. "Vadlīnijas Ministru kabineta noteikumu par specifiskā atbalsta mērķa īstenošanu izstrādei Eiropas Savienības fondu 2021.—2027. gada plānošanas periodā": Maksimālā Eiropas Sociālā fonda Plus finansējuma intensitāte ir 85 % no projektam plānotā kopējā attiecināmā finansējuma, un nacionālais līdzfinansējums nav mazāks par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Īstenojot projektu, finansējuma saņēmējs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20. punktā minēto informācijas un publicitātes pasākumu nodrošināšana nav attiecināma arī uz finansējuma saņēmēja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izstrādā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norādīt, ka finansējuma saņēmējs un sadarbības partneris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par projekta ietekmi uz šo noteikumu </w:t>
            </w:r>
            <w:r w:rsidR="00000000" w:rsidRPr="00000000" w:rsidDel="00000000">
              <w:rPr>
                <w:rtl w:val="0"/>
              </w:rPr>
              <w:t xml:space="preserve">8.1.2. </w:t>
            </w:r>
            <w:r w:rsidR="00000000" w:rsidRPr="00000000" w:rsidDel="00000000">
              <w:rPr>
                <w:rtl w:val="0"/>
              </w:rPr>
              <w:t xml:space="preserve">apakšpunktā</w:t>
            </w:r>
            <w:r w:rsidR="00000000" w:rsidRPr="00000000" w:rsidDel="00000000">
              <w:rPr>
                <w:rtl w:val="0"/>
              </w:rPr>
              <w:t xml:space="preserve"> minēto rezultāta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norādot, ka finansējuma saņēmējs uzkrāj datus par projektā sasniegto šo noteikumu 8.punktā minētā rezultāta rādītāja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personu, kuras ir piedalījušās mācību programmās, kurās ir integrēti jautājumi par dzimumu līdztiesības, personu ar invaliditāti vienlīdzīgu iespēju, vecuma nediskriminācijas, etniskās un citiem piederības un pamattiesību jautājumiem,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21.2.2. apakšpunktā minētais nosacījums ir attiecināms uz pasākuma īstenošanu, ņemot vērā, ka tā ietvaros nav plānotas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attiecībā uz iepirkumiem piemērot sociāli atbildīgu publisko iepirkumu un inovatīvu publisko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transporta izmaksas, tai skaitā nomas, piemērojot vadošās iestādes izstrādāto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uz "transporta pakalpojumu izmaksas", kā arī norādīt vadošās iestādes izstrādātās metodikas nosaukumu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informatīvo un publicitātes pasākumu izmaksas atbilstoši normatīvajiem aktiem par kārtību, kādā Eiropas Savienības kohēzijas politikas programma 2021.- 2027. gadam plānošanas periodā nodrošināma komunikācijas un vizuālās identitātes prasību ievērošanu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24.8. apakšpunktā iekļauto atsauci no 22. punkta uz 22.2.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informatīvo un publicitātes pasākumu izmaksas atbilstoši normatīvajiem aktiem par kārtību, kādā Eiropas Savienības kohēzijas politikas programma 2021.- 2027. gadam plānošanas periodā nodrošināma komunikācijas un vizuālās identitātes prasību ievērošanu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"atbilstoši normatīvajiem aktiem par kārtību, kādā Eiropas Savienības kohēzijas politikas programma 2021.- 2027. gadam plānošanas periodā nodrošināma komunikācijas un vizuālās identitātes prasību ievērošanu", ievērojot to, ka informatīvo un publicitātes pasākumu īstenošanas nosacījumi noteikti noteikumu projekta 20.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vadības un projekta īstenošanas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un projekta īstenošanas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projektā ir attiecināmas kā tiešās attiecināmās izmaksas, ja darbinieks projektā nodarbināts vismaz 30 procentus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vadības un īstenošanas personāla atlīdzības izmaksas segt, piemērojot vienkāršotās izmaksas un attiecīgi 27. 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projekta īstenošana tiek uzraudzīta Sabiedrības integrācijas fonda kā nacionālās koordinējošās iestādes personu, kurām nepieciešama starptautiskā aizsardzība, sociālekonomiskās iekļaušanas jomā,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pamata projekta īstenošanas uzraudzība ir uzdota Sabiedrības integrācijas fonda darba grupai. Vēršam uzmanību, ka atbilstoši Eiropas Savienības fondu 2021.—2027. gada plānošanas perioda vadības likumam šāda funkcija ir atbildīgajai iestādei un sadarbības iestādei. Papildus skaidrojam, ka uzraudzības procesā var piesaistīt tiešās pārvaldes iestādes, kuru darbības joma saistīta ar plānošanas dokumentos minētajām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projekta īstenošana tiek uzraudzīta Sabiedrības integrācijas fonda kā nacionālās koordinējošās iestādes personu, kurām nepieciešama starptautiskā aizsardzība, sociālekonomiskās iekļaušanas jomā,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28.punktu papildināt ar pārstāvjiem, kuri ietilps minētajā darba grupā,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pie anotācijas 8.lpp sniegtās informācijas: “Finansējuma saņēmēja sadarbības partneris Nodrošinājuma valsts aģentūra nodrošina telpas sociālā darbinieka pakalpojuma īstenošanai patvēruma meklētāju izmitināšanas centrā vai pēc iespējas tuvāk pakalpojuma saņēmējiem, savukārt Pilsonības un migrācijas lietu pārvalde nodrošina darba vietas aprīkojumu (izņemot datortehniku) sociālā darbinieka pakalpojuma īstenošanas vietā”, kā arī lūdzam papildināt anotāciju, tajā norādot arī sadarbības partneriem NVA un PMLP projekta ietvaros paredzētos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apakšsadaļā "Risinājuma apraksts" teikuma daļā "</w:t>
            </w:r>
            <w:r w:rsidR="00000000" w:rsidRPr="00000000" w:rsidDel="00000000">
              <w:rPr>
                <w:i w:val="1"/>
                <w:rtl w:val="0"/>
              </w:rPr>
              <w:t xml:space="preserve">Tiek plānots, ka </w:t>
            </w:r>
            <w:r w:rsidR="00000000" w:rsidRPr="00000000" w:rsidDel="00000000">
              <w:rPr>
                <w:i w:val="1"/>
                <w:u w:val="single"/>
                <w:rtl w:val="0"/>
              </w:rPr>
              <w:t xml:space="preserve">pakalpojuma sniedzējs</w:t>
            </w:r>
            <w:r w:rsidR="00000000" w:rsidRPr="00000000" w:rsidDel="00000000">
              <w:rPr>
                <w:i w:val="1"/>
                <w:rtl w:val="0"/>
              </w:rPr>
              <w:t xml:space="preserve"> izvirza vadošo sociālo darbinieku</w:t>
            </w:r>
            <w:r w:rsidR="00000000" w:rsidRPr="00000000" w:rsidDel="00000000">
              <w:rPr>
                <w:rtl w:val="0"/>
              </w:rPr>
              <w:t xml:space="preserve">..." precizēt, kas ir minētais pakalpojuma sniedzējs, kurš nodrošinās anotācijā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w:t>
            </w:r>
            <w:r w:rsidR="00000000" w:rsidRPr="00000000" w:rsidDel="00000000">
              <w:rPr>
                <w:rtl w:val="0"/>
              </w:rPr>
              <w:t xml:space="preserve">1.3. punktā "Pašreizējā situācija, problēmas un risinājumi" redakcionāli precizēt rindkopu, kas sākas ar vārdiem "Projektā noteikts, ka 4.3.4.8. pasākuma ietvaros plānots attiecināt tiešās attiecināmās izmaksas un pārējās attiecināmās izmaksas. [..]", ievērojot, ka noteikumu projekts paredz divus izmaksu veidus (tiešās attiecināmās izmaksas un netiešās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1.3. punktā "Pašreizējā situācija, problēmas un risinājumi" svītrot teikumu "Atbilstoši Rīcības plānam sociālā darbinieka pakalpojums tiks nodrošināts patvēruma meklētājiem trīs mēnešus patvēruma meklētāju izmitināšanas centrā “Mucenieki” vai tā tuvumā", jo tas ir pretrunā ar anotācijā minēto informāciju par pasākuma īstenošanas nosacījumiem, kas nosaka, ka “Vienas pieturas aģentūras” pakalpojumi būs pieejami gan Rīgā (centrā), gan reģionos (četrās reģionu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"Tiesību akta projekta ietekme uz valsts budžetu un pašvaldību budžetiem" tabulas 6.punkta apraksta pirmajā teikumā svītrot vārdus "līgumu vai", ņemot vērā, ka pasākuma ietvaros nav plānots slēgt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5.4.1. tabulu papildināt ar Regulas 2021/1060 54. panta b) apakšpunktu un Regulas 2021/1057 36.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punktu ar informāciju par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prezidenta 2021. gada 7.septembra rezolūcijai Nr. 2021-1.1.1./50-50, izstrādājot specifisko atbalsta mērķu un to pasākumu ieviešanas nosacījumus Eiropas Savienības fondu 2021.—2027.gada plānošanas perioda atbalsta saņemšanai institūcijas atbildībā esošajās jomās, tiek lūgts jēgpilni iesaistīt attiecīgajā jomā strādājošās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pasākumam ir tieša, netieša, vai nebūs ietekmes uz horizontālajiem principiem “Klimatdrošināšana”, "Energoefektivitāte pirmajā vietā”,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 Vēršam uzmanību, ka atbilstoši Programmā norādītajam 4.3.4.SAM ietvaros plānots īstenot darbības, kas kopumā sniegs ieguldījumu dzimumu līdztiesības principa kā ESSBJR caurvijoša principa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pasākumam ir tieša ietekme uz horizontālo principu "Vienlīdzība, iekļaušana, nediskriminācija un pamattiesību ievērošana", tad saskaņā ar Labklājības ministrijas izstrādātajām vadlīnijām “Horizontālais princips “Vienlīdzība, iekļaušana, nediskriminācija un pamattiesību ievērošana” vadlīnijas īstenošanai un uzraudzībai (2021-2027)" pasākumā papildus sasniedzamajiem rādītājiem ir  jānodrošina arī 5 vispārīgās un 3 specifiskās darbības. Lūdzam izvērtēt iespēju iekļaut informāciju par vispārīgajām un specifiskajām darbībām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20.06.2023.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20.06.2023.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Atzinumi_23-TA-1407.docx</dc:title>
</cp:coreProperties>
</file>

<file path=docProps/custom.xml><?xml version="1.0" encoding="utf-8"?>
<Properties xmlns="http://schemas.openxmlformats.org/officeDocument/2006/custom-properties" xmlns:vt="http://schemas.openxmlformats.org/officeDocument/2006/docPropsVTypes"/>
</file>