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88.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88. panta ceturto daļu, ņemot vērā, ka likumprojekta “Grozījumi Publiskas personas kapitāla daļu un kapitālsabiedrību pārvaldības likumā” (23-TA-1130) 22. pantā (likuma 43. panta otrās daļas 2. punkts) paredzēts, ka atvasinātas publiskas personas dibināšanas lēmumā norāda tirgus nepilnību vai tādus pašvaldības īpašumus, ko paredzēts veidot vai pārvaldīt ar kapitālsabiedrības palīdzību, vai preces un pakalpojumus, vai preču un pakalpojumu grupas, kuru nodrošināšanas mērķiem kapitālsabiedrība tiek dibināta, kas pēc satura iekļauj VPIL 88. panta ceturtajā daļā noteikto, līdz ar to ir lieki paredzēt tāda paša satura ārējā normatīvā akta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minētās normas saglabāšana pamatota ar to, ka atsevišķas pašvaldības šādus ārējos normatīvos aktus ir izdevušas. Aicinām jau izdoto normatīvo aktu spēkā esamības saglabāšanu risināt likuma pārejas noteikumos, tai skaitā paredzot, ka turpmāk attiecīgā informācija iekļaujama dibināšanas lēmumā, tādējādi nodrošinot vienveidīgu publisku personu kapitālsabiedrību pārvaldību, izvērtējot līdzdalības kapitālsabiedrībā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07.02.2024. 09.36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07.02.2024. 09.36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