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Invaliditātes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aizpildīt anotācijas 3.sadaļu, jo likumprojekta 3.pants paredz, ka personām, kurām Latvijā izsniegta termiņuzturēšanās atļauja kā ES zilās kartes turētājiem un viņu ģimenes locekļiem un viņu pastāvīgā uzturēšanās vieta ir Latvijā, būs tiesības uz prognozējamas invaliditātes vai invaliditātes ekspertīzi, vienlaikus atbilstoši anotācijā norādītajam labvēlīga Veselības un darbspēju ekspertīzes ārstu valsts komisijas lēmuma gadījumā tiem secīgi būs tiesības saņemt nepieciešamos pabalstus un pakalpojumus invaliditātes seku mazināšanai, tādējādi paplašinot invaliditātes pabalstu un pakalpojumu saņēmēju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kas Invaliditātes likuma 3.</w:t>
            </w:r>
            <w:r w:rsidR="00000000" w:rsidRPr="00000000" w:rsidDel="00000000">
              <w:rPr>
                <w:vertAlign w:val="superscript"/>
                <w:rtl w:val="0"/>
              </w:rPr>
              <w:t xml:space="preserve">1</w:t>
            </w:r>
            <w:r w:rsidR="00000000" w:rsidRPr="00000000" w:rsidDel="00000000">
              <w:rPr>
                <w:rtl w:val="0"/>
              </w:rPr>
              <w:t xml:space="preserve"> panta trešo daļu papildina ar 34.punktu, paredz, ka tiesības apstrādāt informācijas sistēmā iekļauto informāciju saistībā ar prognozējamu invaliditāti un invaliditāti būs biedrībai “Resursu centrs cilvēkiem ar garīgiem traucējumiem “Zelda””. Lūdzam papildināt anotāciju, norādot kāda finansējuma ietvaros tiks īstenota minētā likumprojekta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Pabalstu par asistenta izmantošanu Valsts sociālās apdrošināšanas aģentūra bez maksas pārskaita pabalsta saņēmēja kontā Latvijas Republikas kredītiestādē vai pasta norēķinu sistēmā (PNS) vai pēc pabalsta saņēmēja pieprasījuma piegādā viņa dzīvesvietā Latvijā par maksu, ieturot no pabalsta tā piegādes izdevumus atbilstoši gadskārtējā valsts budžeta likumā noteiktajai maksai par pensijas, pabalsta vai atlīdzības piegādi. Minēto pabalstu Valsts sociālās apdrošināšanas aģentūra var pārskaitīt arī citā Eiropas Ekonomikas zonas atvērtajā maksājumu kontā, kurā var ieskaitīt maksājumu </w:t>
            </w:r>
            <w:r w:rsidR="00000000" w:rsidRPr="00000000" w:rsidDel="00000000">
              <w:rPr>
                <w:i w:val="1"/>
                <w:rtl w:val="0"/>
              </w:rPr>
              <w:t xml:space="preserve">euro</w:t>
            </w:r>
            <w:r w:rsidR="00000000" w:rsidRPr="00000000" w:rsidDel="00000000">
              <w:rPr>
                <w:rtl w:val="0"/>
              </w:rPr>
              <w:t xml:space="preserve"> valūtā, ieturot no pabalsta bankas vai kredītiestādes komisijas maksu par pārskaitījumu ārpus Latvijas Republikas. Komisijas maksu no pabalsta ietur arī tad, ja pabalsta saņēmēja neprecīzi norādītās informācijas dēļ maksājumu veic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5.pantā izteikto Invaliditātes likuma 12.panta 4.</w:t>
            </w:r>
            <w:r w:rsidR="00000000" w:rsidRPr="00000000" w:rsidDel="00000000">
              <w:rPr>
                <w:vertAlign w:val="superscript"/>
                <w:rtl w:val="0"/>
              </w:rPr>
              <w:t xml:space="preserve">1</w:t>
            </w:r>
            <w:r w:rsidR="00000000" w:rsidRPr="00000000" w:rsidDel="00000000">
              <w:rPr>
                <w:rtl w:val="0"/>
              </w:rPr>
              <w:t xml:space="preserve"> daļas redakciju, pirms vārdiem “Pabalstu par asistenta izmantošanu”, lietojot vārdus “Šā panta pirmās daļas 2.punktā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anotācijā lietot vienotu Veselības un darbspēju ekspertīzes ārstu valsts komisijas saīsinājumu (Valsts komisija vai VDEĀVK).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pie piemēriem, kas skaidro situāciju, ja iesniegums atkārtotas invaliditātes ekspertīzes noteikšanai iesniegts vairāk kā divus mēnešus līdz iepriekš noteiktā invaliditātes termiņa, precizējams 1.piemērs, ņemot vērā, ja VDEĀVK izvērtē un pieņem lēmumu 2024.gada 27.decembrī, tad administratīvā akta izdošanas datums nevar būt 2024.gada 27.februāris.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“Risinājuma apraksts” pie piemēriem, kas skaidro situāciju, ja iesniegums atkārtotas invaliditātes ekspertīzes noteikšanai iesniegts mazāk kā divus mēnešus līdz iepriekš noteiktā invaliditātes termiņa, precizējams 2.piemērs, jo ievaddaļā tiek norādīta situācija, ja atkārtotas invaliditātes ekspertīzes gadījumā tiek noteikta smagāka invaliditātes grupa, savukārt tālāk tiek norādīts, ka tiek noteikta vieglāka invaliditātes grupa, t.i. no II invaliditātes grupas uz III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4.1.1.apakšsadaļas punktā “Pamatojums un apraksts” norādīto informāciju, jo nav saprotams kas tiek domāts ar vārdiem “Likumprojekta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07.05.2024.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07.05.2024.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Atzinumi_23-TA-116.docx</dc:title>
</cp:coreProperties>
</file>

<file path=docProps/custom.xml><?xml version="1.0" encoding="utf-8"?>
<Properties xmlns="http://schemas.openxmlformats.org/officeDocument/2006/custom-properties" xmlns:vt="http://schemas.openxmlformats.org/officeDocument/2006/docPropsVTypes"/>
</file>