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noteiktās atbalstāmās prioritātes nākamajā budžeta plānošanas periodā, kā arī to, ka Ekonomikas ministrijas plānotajai aktivitātei nav piešķirts valsts budzēta finansējums un tā paredzētajā termiņā nevar tikt realizēta, lūdzam no Rīcības plāna 3.3. virziena "Pieaugušo izglītības attīstība" </w:t>
            </w:r>
            <w:r w:rsidR="00000000" w:rsidRPr="00000000" w:rsidDel="00000000">
              <w:rPr>
                <w:b w:val="1"/>
                <w:rtl w:val="0"/>
              </w:rPr>
              <w:t xml:space="preserve">dzēst </w:t>
            </w:r>
            <w:r w:rsidR="00000000" w:rsidRPr="00000000" w:rsidDel="00000000">
              <w:rPr>
                <w:rtl w:val="0"/>
              </w:rPr>
              <w:t xml:space="preserve">aktivitāti/ darbības rezultātu "Īstenotas informatīvās mārketinga kampaņas (dažādu formu aktivitātes, izmantojot dažādus kanālus reģionālā griezumā) pieaugušo izglītības popularizēšanai".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Jaunskunga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 gada, saskaņā ar Digitālās desmitgades politikas programmu 2030. gadam,  DESI indekss ir integrēts ziņojumā par digitālās desmitgades stāvokli un izmantots, lai uzraudzītu progresu digitālās desmitgades politikas programmas dimensijās: digitālās prasmes, digitālā infrastruktūra, uzņēmējdarbības digitalizācija un publisko pakalpojumu digitalizācija, iesakām DESI indeksu aizstāt ar kādu no Digitālās desmitgades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darbības rezultātā Nr.3.3.2.3.b skaitļa vietā "8352" norādīt "1139", ņemot vērā, ka Eiropas Savienības kohēzijas politikas programma 2021.–2027.gadam veiktos labojumus netiek uzskaitīt neunikālo personu skaits, bet unikālo.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19.08.2024. 23.23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19.08.2024. 23.23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