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“37. Šā likuma 17. panta trešo daļu var piemērot līgumiem par pakalpojumu sniegšanu maršrutu tīklā (maršrutā), kas ir noslēgti pēc šīs normas spēkā stāšanās, ja kopš attiecīgā kompetentās institūcijas konkurences jomā lēmuma spēkā stāšanās, ar kuru Pārvadātājs  ir atzīts par vainīgu konkurences tiesību pārkāpumā, kas izpaužas kā horizontālā karteļa vienošanās.”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iebilst pret pašreizējo Sabiedriskā transporta pakalpojumu likuma (STPL) pārejas noteikumu 37. punkta redakciju, jo tā ir nepilnīga, t.i., ir izsvītrotas normas beigas, atstājot to nepabeigtu.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Konkurences padome vērš uzmanību, ka STPL 17. panta trešā daļa paredz pasūtītāja tiesības vienpusēji atkāpties no līguma, ja pārvadātājs atzīts par vainīgu konkurences tiesību pārkāpumā ar kompetentas institūcijas konkurences jomā lēmumu, kas stājies spēkā, nav apstrīdams un pārsūdzams, taču pārejas noteikumu 37. punkts satur vienīgi norādi uz šāda lēmuma spēkā 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ievērojot Latvijas Darba devēju konfederācijas 27.05.2024. iebildumos norādīto argumentāciju, Konkurences padomes ieskatā 1 gada termiņš pasūtītāja tiesību izmantošanai ir pietiekams un samērīgs termiņš, lai pasūtītājs izlemtu, vai turpināt līgumtiesiskās attiecības, ņemot vērā visus juridiskos un ekonomiskos apsvērumus, kā arī, lai nodrošinātu nepārtrauktu pakalpojumu sniegšanu. Līdz ar to Konkurences padome izsaka priekšlikumu noteikt 1 gada termiņu, kādā pasūtītājs var izmantot savas tiesības vienpusēji atkāpties no līguma, ja ar kompetentas institūcijas spēkā stājušos, neapstrīdamu un nepārsūdzamu lēmumu pārvadātājs atzīts par vainīgu konkurences tiesību pārkāpumā, kas izpaužas kā horizontālā karteļa 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Lapiņa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09.07.2024.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09.07.2024.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