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Latviešu vēsturisko zemju un kultūrtelpu attīstības plāns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3.sadaļā "Ietekmes novērtējums uz valsts un pašvaldību budžetu" 1.3.1. punktā svītrot vārdus “un komerciālo mediju saturā”, jo SEPLP kompetencē neietilpst komerciālo elektronisko plašsaziņas līdzekļu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Nodrošināt latviešu valodas paveidu, tostarp latgaliešu rakstu valodas, kā arī lībiešu valodas klātbūtni sabiedrisko elektronisko plašsaziņas līdzekļu saturā.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SEPLP plāna spēkā esamības laikā patur tiesības gadījumā, ja sabiedriskajiem elektroniskajiem plašsaziņas līdzekļiem rodas nepieciešamība plānā paredzēto mērķu īstenošanai, vērsties ar priekšlikumiem pēc papildu līdzekļiem prioritārajiem pasākumiem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plāna projektā vārdus "sabiedriskais medijs" aizstāt ar vārdiem "sabiedriskais elektroniskais plašsaziņas līdzeklis" attiecīgajā locījumā atbilstoši Sabiedrisko elektronisko plašsaziņas līdzekļu un to pārvaldības likumā lietotai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1.1.2.punkta rezultatīvo rādītāju, ievērojot Sabiedrisko elektronisko plašsaziņas līdzekļu un to pārvaldības likuma 10.pantā noteikto sabiedriskā pasūtījuma izstrādes un uzraudzības kārtību un 11.pantā noteikto sabiedriskā pasūtījuma gada plāna izstrādes un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Izstrādātas sabiedrisko elektronisko plašsaziņas līdzekļu sabiedriskā pasūtījuma vadlīnijas un uzdevumi gada plāna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1.3.1.punkta rezulatīvo rādītāju, ievērojot Sabiedrisko elektronisko plašsaziņas līdzekļu pārvaldības likuma  10.pantā noteikto sabiedriskā pasūtījuma izstrādes un uzraudzības kārtību un 11.pantā paredzēto sabiedriskā pasūtījuma gada plāna izstrādes un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Izstrādātas sabiedrisko elektronisko plašsaziņas līdzekļu sabiedriskā pasūtījuma vadlīnijas un uzdevumi gada plāna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30.11.2022.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30.11.2022.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Atzinumi_22-TA-3234.docx</dc:title>
</cp:coreProperties>
</file>

<file path=docProps/custom.xml><?xml version="1.0" encoding="utf-8"?>
<Properties xmlns="http://schemas.openxmlformats.org/officeDocument/2006/custom-properties" xmlns:vt="http://schemas.openxmlformats.org/officeDocument/2006/docPropsVTypes"/>
</file>