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25-TA-1882)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iebildumu, kas tika izteikts par plāna 4.3. punktu. Atbilstoši KNAB organizētajā starpinstitūciju sanāksmē runātajam, TM piekrīt būt līdzatbildīgā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2017. gada 16. augusta noteikumiem Nr.474 "Tieslietu ministrijas nolikums" 4.1.5.apakšpunktu Tieslietu ministrijas funkcija ir izstrādāt, organizēt un koordinēt tiesu ekspertīžu politiku, savukārt Tiesu eksperta likuma 1.panta 1.punkts noteic, ka tiesu ekspertīze ir objektu vai materiālu zinātniska un praktiska izpēte, ko veic tiesu eksperts, izmantojot likumā noteiktajā kārtībā reģistrētu metodi, lai atbildētu uz ekspertīzes noteicēja uzdotajiem jautājumiem, sniedzot pamatotus secinājumus. No KNAB pasākumu plānā pie 4.3.punkta ietvertā apraksta ir saprotams, ka runa ir par procesa virzītāja pieaicinātu personu, kura nav ekspertīžu iestādes eksperts, bet kuras zināšanas un praktiskā pieredze ir pietiekama ekspertīzes izdarīšanai (Kriminālprocesa likuma 34.pants), nevis tiesu ekspertu.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izziņas 10.punktā izteikto iebildumu, kas attiecas uz plāna projekta 1.8. pasākumu.  Atkārtoti vēršam uzmanību, ka situācijas aprakstā minētais tiešā veidā skar KNAB un Finanšu ministrijas kompetenci, kā arī atbildīgo nozares ministriju kompetenci (par sportu, ārstniecības iestādēm, publiskiem iepirkumiem un finansējuma plūsmu). Tas, ka Tieslietu ministrija vispārīgi  ir atbildīga par normatīvo regulējumu juridiskajām personām (tostarp biedrībām un nodibinājumiem) izstrādi un koordināciju, nenozīmē, ka Tieslietu ministrijai būtu jāregulē nozaru regulējums sportā, ārstniecībā utt. Situācijas aprakstā minētā problēma ir plašāka un nav saistīta tikai ar risinājumiem biedrību un nodibinājumu vispārējā regulējumā.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25.11.2025.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25.11.2025.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Atzinumi_25-TA-1882.docx</dc:title>
</cp:coreProperties>
</file>

<file path=docProps/custom.xml><?xml version="1.0" encoding="utf-8"?>
<Properties xmlns="http://schemas.openxmlformats.org/officeDocument/2006/custom-properties" xmlns:vt="http://schemas.openxmlformats.org/officeDocument/2006/docPropsVTypes"/>
</file>