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4555" w:rsidRPr="006A4555" w:rsidRDefault="006A4555" w:rsidP="006A4555">
      <w:pPr>
        <w:spacing w:after="0" w:line="240" w:lineRule="auto"/>
        <w:rPr>
          <w:rFonts w:ascii="Times New Roman" w:eastAsia="Times New Roman" w:hAnsi="Times New Roman" w:cs="Times New Roman"/>
          <w:sz w:val="24"/>
          <w:szCs w:val="24"/>
          <w:lang w:eastAsia="lv-LV"/>
        </w:rPr>
      </w:pPr>
      <w:r w:rsidRPr="006A4555">
        <w:rPr>
          <w:rFonts w:ascii="Times New Roman" w:eastAsia="Times New Roman" w:hAnsi="Times New Roman" w:cs="Times New Roman"/>
          <w:sz w:val="24"/>
          <w:szCs w:val="24"/>
          <w:lang w:eastAsia="lv-LV"/>
        </w:rPr>
        <w:t xml:space="preserve">-------- Forwarded Message -------- </w:t>
      </w:r>
    </w:p>
    <w:tbl>
      <w:tblPr>
        <w:tblW w:w="0" w:type="auto"/>
        <w:tblCellSpacing w:w="0" w:type="dxa"/>
        <w:tblCellMar>
          <w:left w:w="0" w:type="dxa"/>
          <w:right w:w="0" w:type="dxa"/>
        </w:tblCellMar>
        <w:tblLook w:val="04A0" w:firstRow="1" w:lastRow="0" w:firstColumn="1" w:lastColumn="0" w:noHBand="0" w:noVBand="1"/>
      </w:tblPr>
      <w:tblGrid>
        <w:gridCol w:w="854"/>
        <w:gridCol w:w="7452"/>
      </w:tblGrid>
      <w:tr w:rsidR="006A4555" w:rsidRPr="006A4555" w:rsidTr="006A4555">
        <w:trPr>
          <w:tblCellSpacing w:w="0" w:type="dxa"/>
        </w:trPr>
        <w:tc>
          <w:tcPr>
            <w:tcW w:w="0" w:type="auto"/>
            <w:noWrap/>
            <w:hideMark/>
          </w:tcPr>
          <w:p w:rsidR="006A4555" w:rsidRPr="006A4555" w:rsidRDefault="006A4555" w:rsidP="006A4555">
            <w:pPr>
              <w:spacing w:after="0" w:line="240" w:lineRule="auto"/>
              <w:jc w:val="right"/>
              <w:rPr>
                <w:rFonts w:ascii="Times New Roman" w:eastAsia="Times New Roman" w:hAnsi="Times New Roman" w:cs="Times New Roman"/>
                <w:b/>
                <w:bCs/>
                <w:sz w:val="24"/>
                <w:szCs w:val="24"/>
                <w:lang w:eastAsia="lv-LV"/>
              </w:rPr>
            </w:pPr>
            <w:r w:rsidRPr="006A4555">
              <w:rPr>
                <w:rFonts w:ascii="Times New Roman" w:eastAsia="Times New Roman" w:hAnsi="Times New Roman" w:cs="Times New Roman"/>
                <w:b/>
                <w:bCs/>
                <w:sz w:val="24"/>
                <w:szCs w:val="24"/>
                <w:lang w:eastAsia="lv-LV"/>
              </w:rPr>
              <w:t xml:space="preserve">Subject: </w:t>
            </w:r>
          </w:p>
        </w:tc>
        <w:tc>
          <w:tcPr>
            <w:tcW w:w="0" w:type="auto"/>
            <w:vAlign w:val="center"/>
            <w:hideMark/>
          </w:tcPr>
          <w:p w:rsidR="006A4555" w:rsidRPr="006A4555" w:rsidRDefault="006A4555" w:rsidP="006A4555">
            <w:pPr>
              <w:spacing w:after="0" w:line="240" w:lineRule="auto"/>
              <w:rPr>
                <w:rFonts w:ascii="Times New Roman" w:eastAsia="Times New Roman" w:hAnsi="Times New Roman" w:cs="Times New Roman"/>
                <w:sz w:val="24"/>
                <w:szCs w:val="24"/>
                <w:lang w:eastAsia="lv-LV"/>
              </w:rPr>
            </w:pPr>
            <w:r w:rsidRPr="006A4555">
              <w:rPr>
                <w:rFonts w:ascii="Times New Roman" w:eastAsia="Times New Roman" w:hAnsi="Times New Roman" w:cs="Times New Roman"/>
                <w:sz w:val="24"/>
                <w:szCs w:val="24"/>
                <w:lang w:eastAsia="lv-LV"/>
              </w:rPr>
              <w:t>Atb.: TAP Likumprojekts "Imigrācijas likums" (VSS-545)</w:t>
            </w:r>
          </w:p>
        </w:tc>
      </w:tr>
      <w:tr w:rsidR="006A4555" w:rsidRPr="006A4555" w:rsidTr="006A4555">
        <w:trPr>
          <w:tblCellSpacing w:w="0" w:type="dxa"/>
        </w:trPr>
        <w:tc>
          <w:tcPr>
            <w:tcW w:w="0" w:type="auto"/>
            <w:noWrap/>
            <w:hideMark/>
          </w:tcPr>
          <w:p w:rsidR="006A4555" w:rsidRPr="006A4555" w:rsidRDefault="006A4555" w:rsidP="006A4555">
            <w:pPr>
              <w:spacing w:after="0" w:line="240" w:lineRule="auto"/>
              <w:jc w:val="right"/>
              <w:rPr>
                <w:rFonts w:ascii="Times New Roman" w:eastAsia="Times New Roman" w:hAnsi="Times New Roman" w:cs="Times New Roman"/>
                <w:b/>
                <w:bCs/>
                <w:sz w:val="24"/>
                <w:szCs w:val="24"/>
                <w:lang w:eastAsia="lv-LV"/>
              </w:rPr>
            </w:pPr>
            <w:r w:rsidRPr="006A4555">
              <w:rPr>
                <w:rFonts w:ascii="Times New Roman" w:eastAsia="Times New Roman" w:hAnsi="Times New Roman" w:cs="Times New Roman"/>
                <w:b/>
                <w:bCs/>
                <w:sz w:val="24"/>
                <w:szCs w:val="24"/>
                <w:lang w:eastAsia="lv-LV"/>
              </w:rPr>
              <w:t xml:space="preserve">Date: </w:t>
            </w:r>
          </w:p>
        </w:tc>
        <w:tc>
          <w:tcPr>
            <w:tcW w:w="0" w:type="auto"/>
            <w:vAlign w:val="center"/>
            <w:hideMark/>
          </w:tcPr>
          <w:p w:rsidR="006A4555" w:rsidRPr="006A4555" w:rsidRDefault="006A4555" w:rsidP="006A4555">
            <w:pPr>
              <w:spacing w:after="0" w:line="240" w:lineRule="auto"/>
              <w:rPr>
                <w:rFonts w:ascii="Times New Roman" w:eastAsia="Times New Roman" w:hAnsi="Times New Roman" w:cs="Times New Roman"/>
                <w:sz w:val="24"/>
                <w:szCs w:val="24"/>
                <w:lang w:eastAsia="lv-LV"/>
              </w:rPr>
            </w:pPr>
            <w:r w:rsidRPr="006A4555">
              <w:rPr>
                <w:rFonts w:ascii="Times New Roman" w:eastAsia="Times New Roman" w:hAnsi="Times New Roman" w:cs="Times New Roman"/>
                <w:sz w:val="24"/>
                <w:szCs w:val="24"/>
                <w:lang w:eastAsia="lv-LV"/>
              </w:rPr>
              <w:t>Fri, 15 Jan 2021 08:13:04 +0000</w:t>
            </w:r>
          </w:p>
        </w:tc>
      </w:tr>
      <w:tr w:rsidR="006A4555" w:rsidRPr="006A4555" w:rsidTr="006A4555">
        <w:trPr>
          <w:tblCellSpacing w:w="0" w:type="dxa"/>
        </w:trPr>
        <w:tc>
          <w:tcPr>
            <w:tcW w:w="0" w:type="auto"/>
            <w:noWrap/>
            <w:hideMark/>
          </w:tcPr>
          <w:p w:rsidR="006A4555" w:rsidRPr="006A4555" w:rsidRDefault="006A4555" w:rsidP="006A4555">
            <w:pPr>
              <w:spacing w:after="0" w:line="240" w:lineRule="auto"/>
              <w:jc w:val="right"/>
              <w:rPr>
                <w:rFonts w:ascii="Times New Roman" w:eastAsia="Times New Roman" w:hAnsi="Times New Roman" w:cs="Times New Roman"/>
                <w:b/>
                <w:bCs/>
                <w:sz w:val="24"/>
                <w:szCs w:val="24"/>
                <w:lang w:eastAsia="lv-LV"/>
              </w:rPr>
            </w:pPr>
            <w:r w:rsidRPr="006A4555">
              <w:rPr>
                <w:rFonts w:ascii="Times New Roman" w:eastAsia="Times New Roman" w:hAnsi="Times New Roman" w:cs="Times New Roman"/>
                <w:b/>
                <w:bCs/>
                <w:sz w:val="24"/>
                <w:szCs w:val="24"/>
                <w:lang w:eastAsia="lv-LV"/>
              </w:rPr>
              <w:t xml:space="preserve">From: </w:t>
            </w:r>
          </w:p>
        </w:tc>
        <w:tc>
          <w:tcPr>
            <w:tcW w:w="0" w:type="auto"/>
            <w:vAlign w:val="center"/>
            <w:hideMark/>
          </w:tcPr>
          <w:p w:rsidR="006A4555" w:rsidRPr="006A4555" w:rsidRDefault="006A4555" w:rsidP="006A4555">
            <w:pPr>
              <w:spacing w:after="0" w:line="240" w:lineRule="auto"/>
              <w:rPr>
                <w:rFonts w:ascii="Times New Roman" w:eastAsia="Times New Roman" w:hAnsi="Times New Roman" w:cs="Times New Roman"/>
                <w:sz w:val="24"/>
                <w:szCs w:val="24"/>
                <w:lang w:eastAsia="lv-LV"/>
              </w:rPr>
            </w:pPr>
            <w:r w:rsidRPr="006A4555">
              <w:rPr>
                <w:rFonts w:ascii="Times New Roman" w:eastAsia="Times New Roman" w:hAnsi="Times New Roman" w:cs="Times New Roman"/>
                <w:sz w:val="24"/>
                <w:szCs w:val="24"/>
                <w:lang w:eastAsia="lv-LV"/>
              </w:rPr>
              <w:t xml:space="preserve">Edgars Gūte </w:t>
            </w:r>
            <w:hyperlink r:id="rId6" w:history="1">
              <w:r w:rsidRPr="006A4555">
                <w:rPr>
                  <w:rFonts w:ascii="Times New Roman" w:eastAsia="Times New Roman" w:hAnsi="Times New Roman" w:cs="Times New Roman"/>
                  <w:color w:val="0000FF"/>
                  <w:sz w:val="24"/>
                  <w:szCs w:val="24"/>
                  <w:u w:val="single"/>
                  <w:lang w:eastAsia="lv-LV"/>
                </w:rPr>
                <w:t>&lt;Edgars.Gute@tm.gov.lv&gt;</w:t>
              </w:r>
            </w:hyperlink>
          </w:p>
        </w:tc>
      </w:tr>
      <w:tr w:rsidR="006A4555" w:rsidRPr="006A4555" w:rsidTr="006A4555">
        <w:trPr>
          <w:tblCellSpacing w:w="0" w:type="dxa"/>
        </w:trPr>
        <w:tc>
          <w:tcPr>
            <w:tcW w:w="0" w:type="auto"/>
            <w:noWrap/>
            <w:hideMark/>
          </w:tcPr>
          <w:p w:rsidR="006A4555" w:rsidRPr="006A4555" w:rsidRDefault="006A4555" w:rsidP="006A4555">
            <w:pPr>
              <w:spacing w:after="0" w:line="240" w:lineRule="auto"/>
              <w:jc w:val="right"/>
              <w:rPr>
                <w:rFonts w:ascii="Times New Roman" w:eastAsia="Times New Roman" w:hAnsi="Times New Roman" w:cs="Times New Roman"/>
                <w:b/>
                <w:bCs/>
                <w:sz w:val="24"/>
                <w:szCs w:val="24"/>
                <w:lang w:eastAsia="lv-LV"/>
              </w:rPr>
            </w:pPr>
            <w:r w:rsidRPr="006A4555">
              <w:rPr>
                <w:rFonts w:ascii="Times New Roman" w:eastAsia="Times New Roman" w:hAnsi="Times New Roman" w:cs="Times New Roman"/>
                <w:b/>
                <w:bCs/>
                <w:sz w:val="24"/>
                <w:szCs w:val="24"/>
                <w:lang w:eastAsia="lv-LV"/>
              </w:rPr>
              <w:t xml:space="preserve">To: </w:t>
            </w:r>
          </w:p>
        </w:tc>
        <w:tc>
          <w:tcPr>
            <w:tcW w:w="0" w:type="auto"/>
            <w:vAlign w:val="center"/>
            <w:hideMark/>
          </w:tcPr>
          <w:p w:rsidR="006A4555" w:rsidRPr="006A4555" w:rsidRDefault="006A4555" w:rsidP="006A4555">
            <w:pPr>
              <w:spacing w:after="0" w:line="240" w:lineRule="auto"/>
              <w:rPr>
                <w:rFonts w:ascii="Times New Roman" w:eastAsia="Times New Roman" w:hAnsi="Times New Roman" w:cs="Times New Roman"/>
                <w:sz w:val="24"/>
                <w:szCs w:val="24"/>
                <w:lang w:eastAsia="lv-LV"/>
              </w:rPr>
            </w:pPr>
            <w:r w:rsidRPr="006A4555">
              <w:rPr>
                <w:rFonts w:ascii="Times New Roman" w:eastAsia="Times New Roman" w:hAnsi="Times New Roman" w:cs="Times New Roman"/>
                <w:sz w:val="24"/>
                <w:szCs w:val="24"/>
                <w:lang w:eastAsia="lv-LV"/>
              </w:rPr>
              <w:t xml:space="preserve">IeM Kanceleja </w:t>
            </w:r>
            <w:hyperlink r:id="rId7" w:history="1">
              <w:r w:rsidRPr="006A4555">
                <w:rPr>
                  <w:rFonts w:ascii="Times New Roman" w:eastAsia="Times New Roman" w:hAnsi="Times New Roman" w:cs="Times New Roman"/>
                  <w:color w:val="0000FF"/>
                  <w:sz w:val="24"/>
                  <w:szCs w:val="24"/>
                  <w:u w:val="single"/>
                  <w:lang w:eastAsia="lv-LV"/>
                </w:rPr>
                <w:t>&lt;kanceleja@iem.gov.lv&gt;</w:t>
              </w:r>
            </w:hyperlink>
            <w:r w:rsidRPr="006A4555">
              <w:rPr>
                <w:rFonts w:ascii="Times New Roman" w:eastAsia="Times New Roman" w:hAnsi="Times New Roman" w:cs="Times New Roman"/>
                <w:sz w:val="24"/>
                <w:szCs w:val="24"/>
                <w:lang w:eastAsia="lv-LV"/>
              </w:rPr>
              <w:t xml:space="preserve">, </w:t>
            </w:r>
            <w:hyperlink r:id="rId8" w:history="1">
              <w:r w:rsidRPr="006A4555">
                <w:rPr>
                  <w:rFonts w:ascii="Times New Roman" w:eastAsia="Times New Roman" w:hAnsi="Times New Roman" w:cs="Times New Roman"/>
                  <w:color w:val="0000FF"/>
                  <w:sz w:val="24"/>
                  <w:szCs w:val="24"/>
                  <w:u w:val="single"/>
                  <w:lang w:eastAsia="lv-LV"/>
                </w:rPr>
                <w:t>ilze.briede@pmlp.gov.lv</w:t>
              </w:r>
            </w:hyperlink>
            <w:r w:rsidRPr="006A4555">
              <w:rPr>
                <w:rFonts w:ascii="Times New Roman" w:eastAsia="Times New Roman" w:hAnsi="Times New Roman" w:cs="Times New Roman"/>
                <w:sz w:val="24"/>
                <w:szCs w:val="24"/>
                <w:lang w:eastAsia="lv-LV"/>
              </w:rPr>
              <w:t xml:space="preserve"> </w:t>
            </w:r>
            <w:hyperlink r:id="rId9" w:history="1">
              <w:r w:rsidRPr="006A4555">
                <w:rPr>
                  <w:rFonts w:ascii="Times New Roman" w:eastAsia="Times New Roman" w:hAnsi="Times New Roman" w:cs="Times New Roman"/>
                  <w:color w:val="0000FF"/>
                  <w:sz w:val="24"/>
                  <w:szCs w:val="24"/>
                  <w:u w:val="single"/>
                  <w:lang w:eastAsia="lv-LV"/>
                </w:rPr>
                <w:t>&lt;ilze.briede@pmlp.gov.lv&gt;</w:t>
              </w:r>
            </w:hyperlink>
            <w:r w:rsidRPr="006A4555">
              <w:rPr>
                <w:rFonts w:ascii="Times New Roman" w:eastAsia="Times New Roman" w:hAnsi="Times New Roman" w:cs="Times New Roman"/>
                <w:sz w:val="24"/>
                <w:szCs w:val="24"/>
                <w:lang w:eastAsia="lv-LV"/>
              </w:rPr>
              <w:t xml:space="preserve">, Linda Upīte </w:t>
            </w:r>
            <w:hyperlink r:id="rId10" w:history="1">
              <w:r w:rsidRPr="006A4555">
                <w:rPr>
                  <w:rFonts w:ascii="Times New Roman" w:eastAsia="Times New Roman" w:hAnsi="Times New Roman" w:cs="Times New Roman"/>
                  <w:color w:val="0000FF"/>
                  <w:sz w:val="24"/>
                  <w:szCs w:val="24"/>
                  <w:u w:val="single"/>
                  <w:lang w:eastAsia="lv-LV"/>
                </w:rPr>
                <w:t>&lt;Linda.Upite@tm.gov.lv&gt;</w:t>
              </w:r>
            </w:hyperlink>
            <w:r w:rsidRPr="006A4555">
              <w:rPr>
                <w:rFonts w:ascii="Times New Roman" w:eastAsia="Times New Roman" w:hAnsi="Times New Roman" w:cs="Times New Roman"/>
                <w:sz w:val="24"/>
                <w:szCs w:val="24"/>
                <w:lang w:eastAsia="lv-LV"/>
              </w:rPr>
              <w:t xml:space="preserve">, Eva Krjukova </w:t>
            </w:r>
            <w:hyperlink r:id="rId11" w:history="1">
              <w:r w:rsidRPr="006A4555">
                <w:rPr>
                  <w:rFonts w:ascii="Times New Roman" w:eastAsia="Times New Roman" w:hAnsi="Times New Roman" w:cs="Times New Roman"/>
                  <w:color w:val="0000FF"/>
                  <w:sz w:val="24"/>
                  <w:szCs w:val="24"/>
                  <w:u w:val="single"/>
                  <w:lang w:eastAsia="lv-LV"/>
                </w:rPr>
                <w:t>&lt;Eva.Krjukova@tm.gov.lv&gt;</w:t>
              </w:r>
            </w:hyperlink>
          </w:p>
        </w:tc>
      </w:tr>
    </w:tbl>
    <w:p w:rsidR="006A4555" w:rsidRPr="006A4555" w:rsidRDefault="006A4555" w:rsidP="006A4555">
      <w:pPr>
        <w:spacing w:after="240" w:line="240" w:lineRule="auto"/>
        <w:rPr>
          <w:rFonts w:ascii="Times New Roman" w:eastAsia="Times New Roman" w:hAnsi="Times New Roman" w:cs="Times New Roman"/>
          <w:sz w:val="24"/>
          <w:szCs w:val="24"/>
          <w:lang w:eastAsia="lv-LV"/>
        </w:rPr>
      </w:pPr>
    </w:p>
    <w:p w:rsidR="006A4555" w:rsidRPr="006A4555" w:rsidRDefault="006A4555" w:rsidP="006A4555">
      <w:pPr>
        <w:spacing w:after="0" w:line="240" w:lineRule="auto"/>
        <w:rPr>
          <w:rFonts w:ascii="Calibri" w:eastAsia="Times New Roman" w:hAnsi="Calibri" w:cs="Calibri"/>
          <w:color w:val="000000"/>
          <w:sz w:val="24"/>
          <w:szCs w:val="24"/>
          <w:lang w:eastAsia="lv-LV"/>
        </w:rPr>
      </w:pPr>
      <w:r w:rsidRPr="006A4555">
        <w:rPr>
          <w:rFonts w:ascii="Times New Roman , Times, serif" w:eastAsia="Times New Roman" w:hAnsi="Times New Roman , Times, serif" w:cs="Calibri"/>
          <w:color w:val="000000"/>
          <w:sz w:val="24"/>
          <w:szCs w:val="24"/>
          <w:lang w:eastAsia="lv-LV"/>
        </w:rPr>
        <w:t xml:space="preserve">Labdien, </w:t>
      </w:r>
    </w:p>
    <w:p w:rsidR="006A4555" w:rsidRPr="006A4555" w:rsidRDefault="006A4555" w:rsidP="006A4555">
      <w:pPr>
        <w:spacing w:after="0" w:line="240" w:lineRule="auto"/>
        <w:rPr>
          <w:rFonts w:ascii="Calibri" w:eastAsia="Times New Roman" w:hAnsi="Calibri" w:cs="Calibri"/>
          <w:color w:val="000000"/>
          <w:sz w:val="24"/>
          <w:szCs w:val="24"/>
          <w:lang w:eastAsia="lv-LV"/>
        </w:rPr>
      </w:pPr>
    </w:p>
    <w:p w:rsidR="006A4555" w:rsidRPr="006A4555" w:rsidRDefault="006A4555" w:rsidP="006A4555">
      <w:pPr>
        <w:spacing w:after="0" w:line="240" w:lineRule="auto"/>
        <w:rPr>
          <w:rFonts w:ascii="Calibri" w:eastAsia="Times New Roman" w:hAnsi="Calibri" w:cs="Calibri"/>
          <w:color w:val="000000"/>
          <w:sz w:val="24"/>
          <w:szCs w:val="24"/>
          <w:lang w:eastAsia="lv-LV"/>
        </w:rPr>
      </w:pPr>
      <w:r w:rsidRPr="006A4555">
        <w:rPr>
          <w:rFonts w:ascii="Times New Roman , Times, serif" w:eastAsia="Times New Roman" w:hAnsi="Times New Roman , Times, serif" w:cs="Calibri"/>
          <w:color w:val="000000"/>
          <w:sz w:val="24"/>
          <w:szCs w:val="24"/>
          <w:lang w:eastAsia="lv-LV"/>
        </w:rPr>
        <w:t>Tieslietu ministrija ir izskatījusi precizēto likumprojektu "Imigrācijas likums" (VSS-545) un izsaka šādus iebildumus:</w:t>
      </w:r>
    </w:p>
    <w:p w:rsidR="006A4555" w:rsidRPr="006A4555" w:rsidRDefault="006A4555" w:rsidP="006A4555">
      <w:pPr>
        <w:spacing w:after="0" w:line="240" w:lineRule="auto"/>
        <w:rPr>
          <w:rFonts w:ascii="Calibri" w:eastAsia="Times New Roman" w:hAnsi="Calibri" w:cs="Calibri"/>
          <w:color w:val="000000"/>
          <w:sz w:val="24"/>
          <w:szCs w:val="24"/>
          <w:lang w:eastAsia="lv-LV"/>
        </w:rPr>
      </w:pPr>
      <w:r w:rsidRPr="006A4555">
        <w:rPr>
          <w:rFonts w:ascii="Times New Roman , Times, serif" w:eastAsia="Times New Roman" w:hAnsi="Times New Roman , Times, serif" w:cs="Calibri"/>
          <w:color w:val="000000"/>
          <w:sz w:val="24"/>
          <w:szCs w:val="24"/>
          <w:shd w:val="clear" w:color="auto" w:fill="FFFFFF"/>
          <w:lang w:eastAsia="lv-LV"/>
        </w:rPr>
        <w:t>             1. Tieslietu ministrija turpina uzturēt iebildumu attiecībā uz pārsūdzības instances noteikšanu (izziņas 2.punkts par likumprojekta 94.pantu), proti, ka šobrīd spēkā esošā Imigrācijas likuma 61.pantā minētajos gadījumos, kur kā pārsūdzības instance šobrīd ir noteikts Latvijas Republikas Augstākās tiesas Administratīvo lietu departaments, turpmāk būtu nosakāma Administratīvā apgabaltiesa. Arī Augstākā tiesa ir paudusi viedokli, ka turpmāk tās kompetencē nodoto lietu skatīšana pēc Imigrācijas likuma 61.panta pirmās daļas turpmāk būtu nododamas izskatīšanai apgabaltiesai un Tieslietu ministrija pievienojas Augstākās tiesas viedoklim.</w:t>
      </w:r>
    </w:p>
    <w:p w:rsidR="006A4555" w:rsidRPr="006A4555" w:rsidRDefault="006A4555" w:rsidP="006A4555">
      <w:pPr>
        <w:spacing w:after="0" w:line="240" w:lineRule="auto"/>
        <w:rPr>
          <w:rFonts w:ascii="Calibri" w:eastAsia="Times New Roman" w:hAnsi="Calibri" w:cs="Calibri"/>
          <w:color w:val="000000"/>
          <w:sz w:val="24"/>
          <w:szCs w:val="24"/>
          <w:lang w:eastAsia="lv-LV"/>
        </w:rPr>
      </w:pPr>
      <w:r w:rsidRPr="006A4555">
        <w:rPr>
          <w:rFonts w:ascii="Times New Roman , Times, serif" w:eastAsia="Times New Roman" w:hAnsi="Times New Roman , Times, serif" w:cs="Calibri"/>
          <w:color w:val="000000"/>
          <w:sz w:val="24"/>
          <w:szCs w:val="24"/>
          <w:shd w:val="clear" w:color="auto" w:fill="FFFFFF"/>
          <w:lang w:eastAsia="lv-LV"/>
        </w:rPr>
        <w:t>Vienlaicīgi Tieslietu ministrija šī jautājuma sakarā ir uzrunājusi arī Administratīvo apgabaltiesu un noskaidrojusi, ka tai nav konceptuālu iebildumu attiecīgās kategorijas lietu piekritības maiņai.</w:t>
      </w:r>
    </w:p>
    <w:p w:rsidR="006A4555" w:rsidRPr="006A4555" w:rsidRDefault="006A4555" w:rsidP="006A4555">
      <w:pPr>
        <w:spacing w:after="0" w:line="240" w:lineRule="auto"/>
        <w:rPr>
          <w:rFonts w:ascii="Calibri" w:eastAsia="Times New Roman" w:hAnsi="Calibri" w:cs="Calibri"/>
          <w:color w:val="000000"/>
          <w:sz w:val="24"/>
          <w:szCs w:val="24"/>
          <w:lang w:eastAsia="lv-LV"/>
        </w:rPr>
      </w:pPr>
      <w:r w:rsidRPr="006A4555">
        <w:rPr>
          <w:rFonts w:ascii="Times New Roman , Times, serif" w:eastAsia="Times New Roman" w:hAnsi="Times New Roman , Times, serif" w:cs="Calibri"/>
          <w:color w:val="000000"/>
          <w:sz w:val="24"/>
          <w:szCs w:val="24"/>
          <w:shd w:val="clear" w:color="auto" w:fill="FFFFFF"/>
          <w:lang w:eastAsia="lv-LV"/>
        </w:rPr>
        <w:t>Papildus jau iepriekš paustajiem apsvērumiem, vēršam uzmanību, ka nav pamata izziņā norādītajām bažām, ka tā kā šādi lēmumi satur īpaši sensitīvu un nacionāla mēroga aizsargājamu informāciju, tad ir nepieciešams pievērst īpašu rūpību šādas informācijas apritei un personu lokam, kas ar šādu informāciju strādā, jo arī likumā “Par valsts noslēpumu” lēmuma par speciālās atļaujas atteikumu, anulēšanu vai kategorijas pazemināšanu apstrīdēšanas un pārsūdzēšanas kārtība paredz Administratīvo apgabaltiesu kā pārsūdzības instanci.</w:t>
      </w:r>
    </w:p>
    <w:p w:rsidR="006A4555" w:rsidRPr="006A4555" w:rsidRDefault="006A4555" w:rsidP="006A4555">
      <w:pPr>
        <w:spacing w:after="0" w:line="240" w:lineRule="auto"/>
        <w:rPr>
          <w:rFonts w:ascii="Calibri" w:eastAsia="Times New Roman" w:hAnsi="Calibri" w:cs="Calibri"/>
          <w:color w:val="000000"/>
          <w:sz w:val="24"/>
          <w:szCs w:val="24"/>
          <w:lang w:eastAsia="lv-LV"/>
        </w:rPr>
      </w:pPr>
      <w:r w:rsidRPr="006A4555">
        <w:rPr>
          <w:rFonts w:ascii="Times New Roman , Times, serif" w:eastAsia="Times New Roman" w:hAnsi="Times New Roman , Times, serif" w:cs="Calibri"/>
          <w:color w:val="000000"/>
          <w:sz w:val="24"/>
          <w:szCs w:val="24"/>
          <w:shd w:val="clear" w:color="auto" w:fill="FFFFFF"/>
          <w:lang w:eastAsia="lv-LV"/>
        </w:rPr>
        <w:t>             Sabiedrībai skaidra un saprotama tiesu sistēmas modeļa ieviešanai Latvijā, nav akceptējams, ka kā pārsūdzības instance faktiski pēc savas būtības vienādas lietas vienlaikus skata gan Administratīvā apgabaltiesa, gan Augstākā tiesa, kas ir dažāda līmeņa tiesas. Ir nepieciešams pāriet uz „tīro tiesu instanču” sistēmu, lai radītu pamatu gan institucionāli, gan funkcionāli vienkāršākai, skaidrākai un caurskatāmākai tiesu hierarhijai. Līdz ar to tiks novērsta tiesu instanču kompetenču sadrumstalotība, kas no sabiedrības viedokļa ir nesaprotama un var apgrūtināt personu vēršanos tiesā savu tiesību un interešu aizsardzībai.</w:t>
      </w:r>
    </w:p>
    <w:p w:rsidR="006A4555" w:rsidRPr="006A4555" w:rsidRDefault="006A4555" w:rsidP="006A4555">
      <w:pPr>
        <w:spacing w:after="0" w:line="240" w:lineRule="auto"/>
        <w:rPr>
          <w:rFonts w:ascii="Calibri" w:eastAsia="Times New Roman" w:hAnsi="Calibri" w:cs="Calibri"/>
          <w:color w:val="000000"/>
          <w:sz w:val="24"/>
          <w:szCs w:val="24"/>
          <w:lang w:eastAsia="lv-LV"/>
        </w:rPr>
      </w:pPr>
      <w:r w:rsidRPr="006A4555">
        <w:rPr>
          <w:rFonts w:ascii="Times New Roman , Times, serif" w:eastAsia="Times New Roman" w:hAnsi="Times New Roman , Times, serif" w:cs="Calibri"/>
          <w:color w:val="000000"/>
          <w:sz w:val="24"/>
          <w:szCs w:val="24"/>
          <w:shd w:val="clear" w:color="auto" w:fill="FFFFFF"/>
          <w:lang w:eastAsia="lv-LV"/>
        </w:rPr>
        <w:t>Ņemot vērā minēto, lūdzam likumprojektā kā pārsūdzības instanci šobrīd noteiktās Augstākās tiesas vietā noteikt Administratīvo apgabaltiesu.</w:t>
      </w:r>
    </w:p>
    <w:p w:rsidR="006A4555" w:rsidRPr="006A4555" w:rsidRDefault="006A4555" w:rsidP="006A4555">
      <w:pPr>
        <w:spacing w:after="0" w:line="240" w:lineRule="auto"/>
        <w:rPr>
          <w:rFonts w:ascii="Calibri" w:eastAsia="Times New Roman" w:hAnsi="Calibri" w:cs="Calibri"/>
          <w:color w:val="000000"/>
          <w:sz w:val="24"/>
          <w:szCs w:val="24"/>
          <w:lang w:eastAsia="lv-LV"/>
        </w:rPr>
      </w:pPr>
      <w:r w:rsidRPr="006A4555">
        <w:rPr>
          <w:rFonts w:ascii="Times New Roman , Times, serif" w:eastAsia="Times New Roman" w:hAnsi="Times New Roman , Times, serif" w:cs="Calibri"/>
          <w:color w:val="000000"/>
          <w:sz w:val="24"/>
          <w:szCs w:val="24"/>
          <w:lang w:eastAsia="lv-LV"/>
        </w:rPr>
        <w:t xml:space="preserve">                2. </w:t>
      </w:r>
      <w:r w:rsidRPr="006A4555">
        <w:rPr>
          <w:rFonts w:ascii="Times New Roman" w:eastAsia="Times New Roman" w:hAnsi="Times New Roman" w:cs="Times New Roman"/>
          <w:color w:val="000000"/>
          <w:sz w:val="24"/>
          <w:szCs w:val="24"/>
          <w:lang w:eastAsia="lv-LV"/>
        </w:rPr>
        <w:t xml:space="preserve">Likumprojekta 12. pants paredz, ka par ilgtermiņa vīzas vai uzturēšanās atļaujas pieprasīšanai nepieciešamo dokumentu izskatīšanu un ar to saistītajiem pakalpojumiem, kā arī par vīzas atteikuma apstrīdēšanu ārzemnieks maksā valsts nodevu. Ministru kabinets nosaka valsts nodevas apmēru un samaksas kārtību, kā arī  </w:t>
      </w:r>
      <w:r w:rsidRPr="006A4555">
        <w:rPr>
          <w:rFonts w:ascii="Times New Roman , Times, serif" w:eastAsia="Times New Roman" w:hAnsi="Times New Roman , Times, serif" w:cs="Calibri"/>
          <w:color w:val="000000"/>
          <w:sz w:val="24"/>
          <w:szCs w:val="24"/>
          <w:lang w:eastAsia="lv-LV"/>
        </w:rPr>
        <w:t>personu kategorijas, kuras ir atbrīvotas no valsts nodevas samaksas vai kurām, pieprasot vienotu vīzu, piemēro samazinātu valsts nodevas likmi. Vienlaikus likumprojekta 22. panta ceturtā daļa noteic, ka par vīzas vai vīzas pagarinājuma atteikuma, vīzas anulēšanas vai atcelšanas apstrīdēšanu ārzemnieks maksā valsts n</w:t>
      </w:r>
      <w:bookmarkStart w:id="0" w:name="_GoBack"/>
      <w:bookmarkEnd w:id="0"/>
      <w:r w:rsidRPr="006A4555">
        <w:rPr>
          <w:rFonts w:ascii="Times New Roman , Times, serif" w:eastAsia="Times New Roman" w:hAnsi="Times New Roman , Times, serif" w:cs="Calibri"/>
          <w:color w:val="000000"/>
          <w:sz w:val="24"/>
          <w:szCs w:val="24"/>
          <w:lang w:eastAsia="lv-LV"/>
        </w:rPr>
        <w:t xml:space="preserve">odevu. Ministru kabinets nosaka valsts nodevas apmēru un samaksas kārtību, kā arī </w:t>
      </w:r>
      <w:r w:rsidRPr="006A4555">
        <w:rPr>
          <w:rFonts w:ascii="Times New Roman , Times, serif" w:eastAsia="Times New Roman" w:hAnsi="Times New Roman , Times, serif" w:cs="Calibri"/>
          <w:color w:val="000000"/>
          <w:sz w:val="24"/>
          <w:szCs w:val="24"/>
          <w:lang w:eastAsia="lv-LV"/>
        </w:rPr>
        <w:lastRenderedPageBreak/>
        <w:t>atbrīvojumus no valsts nodevas samaksas. Vairākkārtīgi ir lūgts izvērtēt valsts nodevas par lēmuma apstrīdēšanu noteikšanas atbilstību Satversmes 92. pantam. Vēršam uzmanību, ka nav šaubu, ka regulējums tiks noteikts ar likumu, kā arī šādam regulējumam var būt leģitīms mērķis, taču uzskatām, ka vēl aizvien nav pietiekami izvērtēts šāda regulējuma samērīgums. Izvērtējot pamattiesību ierobežojuma samērīgumu, jāpārbauda: </w:t>
      </w:r>
      <w:r w:rsidRPr="006A4555">
        <w:rPr>
          <w:rFonts w:ascii="Calibri" w:eastAsia="Times New Roman" w:hAnsi="Calibri" w:cs="Calibri"/>
          <w:color w:val="000000"/>
          <w:sz w:val="24"/>
          <w:szCs w:val="24"/>
          <w:lang w:eastAsia="lv-LV"/>
        </w:rPr>
        <w:t xml:space="preserve"> </w:t>
      </w:r>
    </w:p>
    <w:p w:rsidR="006A4555" w:rsidRPr="006A4555" w:rsidRDefault="006A4555" w:rsidP="006A4555">
      <w:pPr>
        <w:spacing w:after="0" w:line="240" w:lineRule="auto"/>
        <w:ind w:firstLine="720"/>
        <w:jc w:val="both"/>
        <w:rPr>
          <w:rFonts w:ascii="Calibri" w:eastAsia="Times New Roman" w:hAnsi="Calibri" w:cs="Calibri"/>
          <w:color w:val="000000"/>
          <w:lang w:eastAsia="lv-LV"/>
        </w:rPr>
      </w:pPr>
      <w:r w:rsidRPr="006A4555">
        <w:rPr>
          <w:rFonts w:ascii="Times New Roman , Times, serif" w:eastAsia="Times New Roman" w:hAnsi="Times New Roman , Times, serif" w:cs="Calibri"/>
          <w:color w:val="000000"/>
          <w:sz w:val="24"/>
          <w:szCs w:val="24"/>
          <w:lang w:eastAsia="lv-LV"/>
        </w:rPr>
        <w:t>1) vai izraudzītie līdzekļi ir piemēroti leģitīmā mērķa sasniegšanai jeb vai ar izraudzīto līdzekli var sasniegt leģitīmo mērķi; </w:t>
      </w:r>
    </w:p>
    <w:p w:rsidR="006A4555" w:rsidRPr="006A4555" w:rsidRDefault="006A4555" w:rsidP="006A4555">
      <w:pPr>
        <w:spacing w:after="0" w:line="240" w:lineRule="auto"/>
        <w:ind w:firstLine="720"/>
        <w:jc w:val="both"/>
        <w:rPr>
          <w:rFonts w:ascii="Calibri" w:eastAsia="Times New Roman" w:hAnsi="Calibri" w:cs="Calibri"/>
          <w:color w:val="000000"/>
          <w:lang w:eastAsia="lv-LV"/>
        </w:rPr>
      </w:pPr>
      <w:r w:rsidRPr="006A4555">
        <w:rPr>
          <w:rFonts w:ascii="Times New Roman , Times, serif" w:eastAsia="Times New Roman" w:hAnsi="Times New Roman , Times, serif" w:cs="Calibri"/>
          <w:color w:val="000000"/>
          <w:sz w:val="24"/>
          <w:szCs w:val="24"/>
          <w:lang w:eastAsia="lv-LV"/>
        </w:rPr>
        <w:t>2) vai šāda rīcība ir nepieciešama jeb vai leģitīmo mērķi nevar sasniegt ar indivīda tiesības mazāk ierobežojošiem līdzekļiem; </w:t>
      </w:r>
    </w:p>
    <w:p w:rsidR="006A4555" w:rsidRPr="006A4555" w:rsidRDefault="006A4555" w:rsidP="006A4555">
      <w:pPr>
        <w:spacing w:after="0" w:line="240" w:lineRule="auto"/>
        <w:ind w:firstLine="720"/>
        <w:jc w:val="both"/>
        <w:rPr>
          <w:rFonts w:ascii="Calibri" w:eastAsia="Times New Roman" w:hAnsi="Calibri" w:cs="Calibri"/>
          <w:color w:val="000000"/>
          <w:lang w:eastAsia="lv-LV"/>
        </w:rPr>
      </w:pPr>
      <w:r w:rsidRPr="006A4555">
        <w:rPr>
          <w:rFonts w:ascii="Times New Roman , Times, serif" w:eastAsia="Times New Roman" w:hAnsi="Times New Roman , Times, serif" w:cs="Calibri"/>
          <w:color w:val="000000"/>
          <w:sz w:val="24"/>
          <w:szCs w:val="24"/>
          <w:lang w:eastAsia="lv-LV"/>
        </w:rPr>
        <w:t>3) vai ierobežojums ir atbilstošs jeb vai labums, ko iegūst sabiedrība, ir lielāks par indivīda tiesībām nodarīto kaitējumu. </w:t>
      </w:r>
    </w:p>
    <w:p w:rsidR="006A4555" w:rsidRPr="006A4555" w:rsidRDefault="006A4555" w:rsidP="006A4555">
      <w:pPr>
        <w:spacing w:after="0" w:line="240" w:lineRule="auto"/>
        <w:ind w:firstLine="720"/>
        <w:jc w:val="both"/>
        <w:rPr>
          <w:rFonts w:ascii="Calibri" w:eastAsia="Times New Roman" w:hAnsi="Calibri" w:cs="Calibri"/>
          <w:color w:val="000000"/>
          <w:lang w:eastAsia="lv-LV"/>
        </w:rPr>
      </w:pPr>
      <w:r w:rsidRPr="006A4555">
        <w:rPr>
          <w:rFonts w:ascii="Times New Roman , Times, serif" w:eastAsia="Times New Roman" w:hAnsi="Times New Roman , Times, serif" w:cs="Calibri"/>
          <w:color w:val="000000"/>
          <w:sz w:val="24"/>
          <w:szCs w:val="24"/>
          <w:lang w:eastAsia="lv-LV"/>
        </w:rPr>
        <w:t>Ja, izvērtējot tiesību normu, tiek atzīts, ka tā neatbilst kaut vienam no šiem kritērijiem, tā neatbilst arī samērīguma principam un ir prettiesiska (</w:t>
      </w:r>
      <w:r w:rsidRPr="006A4555">
        <w:rPr>
          <w:rFonts w:ascii="Times New Roman , Times, serif" w:eastAsia="Times New Roman" w:hAnsi="Times New Roman , Times, serif" w:cs="Calibri"/>
          <w:i/>
          <w:iCs/>
          <w:color w:val="000000"/>
          <w:sz w:val="24"/>
          <w:szCs w:val="24"/>
          <w:lang w:eastAsia="lv-LV"/>
        </w:rPr>
        <w:t>sk., piemēram, Satversmes tiesas 2007. gada 16. maija sprieduma lietā Nr. 2006-42-01 11. punktu un 2015. gada 21. decembra sprieduma lietā Nr. 2015-03-01 25. punktu</w:t>
      </w:r>
      <w:r w:rsidRPr="006A4555">
        <w:rPr>
          <w:rFonts w:ascii="Times New Roman , Times, serif" w:eastAsia="Times New Roman" w:hAnsi="Times New Roman , Times, serif" w:cs="Calibri"/>
          <w:color w:val="000000"/>
          <w:sz w:val="24"/>
          <w:szCs w:val="24"/>
          <w:lang w:eastAsia="lv-LV"/>
        </w:rPr>
        <w:t>). </w:t>
      </w:r>
    </w:p>
    <w:p w:rsidR="006A4555" w:rsidRPr="006A4555" w:rsidRDefault="006A4555" w:rsidP="006A4555">
      <w:pPr>
        <w:spacing w:after="0" w:line="240" w:lineRule="auto"/>
        <w:ind w:firstLine="720"/>
        <w:jc w:val="both"/>
        <w:rPr>
          <w:rFonts w:ascii="Calibri" w:eastAsia="Times New Roman" w:hAnsi="Calibri" w:cs="Calibri"/>
          <w:color w:val="000000"/>
          <w:lang w:eastAsia="lv-LV"/>
        </w:rPr>
      </w:pPr>
      <w:r w:rsidRPr="006A4555">
        <w:rPr>
          <w:rFonts w:ascii="Times New Roman , Times, serif" w:eastAsia="Times New Roman" w:hAnsi="Times New Roman , Times, serif" w:cs="Calibri"/>
          <w:color w:val="000000"/>
          <w:sz w:val="24"/>
          <w:szCs w:val="24"/>
          <w:lang w:eastAsia="lv-LV"/>
        </w:rPr>
        <w:t>Likumdevēja izraudzītie līdzekļi ir piemēroti leģitīmā mērķa sasniegšanai, ja ar konkrēto regulējumu šis mērķis tiek sasniegts (</w:t>
      </w:r>
      <w:r w:rsidRPr="006A4555">
        <w:rPr>
          <w:rFonts w:ascii="Times New Roman , Times, serif" w:eastAsia="Times New Roman" w:hAnsi="Times New Roman , Times, serif" w:cs="Calibri"/>
          <w:i/>
          <w:iCs/>
          <w:color w:val="000000"/>
          <w:sz w:val="24"/>
          <w:szCs w:val="24"/>
          <w:lang w:eastAsia="lv-LV"/>
        </w:rPr>
        <w:t>sk., piemēram, Satversmes tiesas 2010. gada 7. oktobra sprieduma lietā Nr. 2010-01-01 13. punktu</w:t>
      </w:r>
      <w:r w:rsidRPr="006A4555">
        <w:rPr>
          <w:rFonts w:ascii="Times New Roman , Times, serif" w:eastAsia="Times New Roman" w:hAnsi="Times New Roman , Times, serif" w:cs="Calibri"/>
          <w:color w:val="000000"/>
          <w:sz w:val="24"/>
          <w:szCs w:val="24"/>
          <w:lang w:eastAsia="lv-LV"/>
        </w:rPr>
        <w:t>). Pamattiesību ierobežojums ir nepieciešams, ja nepastāv citi līdzekļi, kuri būtu tikpat iedarbīgi un kurus izvēloties personu pamattiesības tiktu ierobežotas mazāk (</w:t>
      </w:r>
      <w:r w:rsidRPr="006A4555">
        <w:rPr>
          <w:rFonts w:ascii="Times New Roman , Times, serif" w:eastAsia="Times New Roman" w:hAnsi="Times New Roman , Times, serif" w:cs="Calibri"/>
          <w:i/>
          <w:iCs/>
          <w:color w:val="000000"/>
          <w:sz w:val="24"/>
          <w:szCs w:val="24"/>
          <w:lang w:eastAsia="lv-LV"/>
        </w:rPr>
        <w:t>skat. Satversmes tiesas 2017. gada 24. novembra sprieduma lietā Nr. 2017-07-01 19. punktu</w:t>
      </w:r>
      <w:r w:rsidRPr="006A4555">
        <w:rPr>
          <w:rFonts w:ascii="Times New Roman , Times, serif" w:eastAsia="Times New Roman" w:hAnsi="Times New Roman , Times, serif" w:cs="Calibri"/>
          <w:color w:val="000000"/>
          <w:sz w:val="24"/>
          <w:szCs w:val="24"/>
          <w:lang w:eastAsia="lv-LV"/>
        </w:rPr>
        <w:t>). Izvērtējot pamattiesību ierobežojuma atbilstību leģitīmajam mērķim, jāpārliecinās par to, vai nelabvēlīgās sekas, kas personai rodas tās pamattiesību ierobežojuma rezultātā, nav lielākas par labumu, ko no šā ierobežojuma gūst sabiedrība kopumā (</w:t>
      </w:r>
      <w:r w:rsidRPr="006A4555">
        <w:rPr>
          <w:rFonts w:ascii="Times New Roman , Times, serif" w:eastAsia="Times New Roman" w:hAnsi="Times New Roman , Times, serif" w:cs="Calibri"/>
          <w:i/>
          <w:iCs/>
          <w:color w:val="000000"/>
          <w:sz w:val="24"/>
          <w:szCs w:val="24"/>
          <w:lang w:eastAsia="lv-LV"/>
        </w:rPr>
        <w:t>sk. Satversmes tiesas 2010. gada 7. oktobra sprieduma lietā Nr. 2010-01-01 15. punktu un 2016. gada 16. jūnija sprieduma lietā Nr. 2015-18-01 18. punktu</w:t>
      </w:r>
      <w:r w:rsidRPr="006A4555">
        <w:rPr>
          <w:rFonts w:ascii="Times New Roman , Times, serif" w:eastAsia="Times New Roman" w:hAnsi="Times New Roman , Times, serif" w:cs="Calibri"/>
          <w:color w:val="000000"/>
          <w:sz w:val="24"/>
          <w:szCs w:val="24"/>
          <w:lang w:eastAsia="lv-LV"/>
        </w:rPr>
        <w:t>). </w:t>
      </w:r>
    </w:p>
    <w:p w:rsidR="006A4555" w:rsidRPr="006A4555" w:rsidRDefault="006A4555" w:rsidP="006A4555">
      <w:pPr>
        <w:spacing w:after="0" w:line="240" w:lineRule="auto"/>
        <w:ind w:firstLine="720"/>
        <w:jc w:val="both"/>
        <w:rPr>
          <w:rFonts w:ascii="Calibri" w:eastAsia="Times New Roman" w:hAnsi="Calibri" w:cs="Calibri"/>
          <w:color w:val="000000"/>
          <w:lang w:eastAsia="lv-LV"/>
        </w:rPr>
      </w:pPr>
      <w:r w:rsidRPr="006A4555">
        <w:rPr>
          <w:rFonts w:ascii="Times New Roman , Times, serif" w:eastAsia="Times New Roman" w:hAnsi="Times New Roman , Times, serif" w:cs="Calibri"/>
          <w:color w:val="000000"/>
          <w:sz w:val="24"/>
          <w:szCs w:val="24"/>
          <w:lang w:eastAsia="lv-LV"/>
        </w:rPr>
        <w:t>Ņemot vērā minēto, atkārtoti aicinām izvērtēt valsts nodevas par lēmuma apstrīdēšanu noteikšanas samērīgumu, jo īpaši izvērtējot citus alternatīvus veidus konkrētā mērķa sasniegšanai. </w:t>
      </w:r>
    </w:p>
    <w:p w:rsidR="006A4555" w:rsidRPr="006A4555" w:rsidRDefault="006A4555" w:rsidP="006A4555">
      <w:pPr>
        <w:spacing w:after="0" w:line="240" w:lineRule="auto"/>
        <w:jc w:val="both"/>
        <w:rPr>
          <w:rFonts w:ascii="Calibri" w:eastAsia="Times New Roman" w:hAnsi="Calibri" w:cs="Calibri"/>
          <w:color w:val="000000"/>
          <w:lang w:eastAsia="lv-LV"/>
        </w:rPr>
      </w:pPr>
      <w:r w:rsidRPr="006A4555">
        <w:rPr>
          <w:rFonts w:ascii="Times New Roman" w:eastAsia="Times New Roman" w:hAnsi="Times New Roman" w:cs="Times New Roman"/>
          <w:color w:val="000000"/>
          <w:sz w:val="24"/>
          <w:szCs w:val="24"/>
          <w:lang w:eastAsia="lv-LV"/>
        </w:rPr>
        <w:t xml:space="preserve">            </w:t>
      </w:r>
      <w:r w:rsidRPr="006A4555">
        <w:rPr>
          <w:rFonts w:ascii="Times New Roman , Times, serif" w:eastAsia="Times New Roman" w:hAnsi="Times New Roman , Times, serif" w:cs="Calibri"/>
          <w:color w:val="000000"/>
          <w:sz w:val="24"/>
          <w:szCs w:val="24"/>
          <w:lang w:eastAsia="lv-LV"/>
        </w:rPr>
        <w:t>Papildus vēršam uzmanību, ka likumprojekta 12. pantā noteiktais par to, ka par ilgtermiņa vīzas atteikuma apstrīdēšanu ārzemnieks maksā valsts nodevu, dublē likumprojekta 22. panta ceturtajā daļā noteikto. Līdz ar to lūdzam precizēt likumprojekta 12. pantu. </w:t>
      </w:r>
    </w:p>
    <w:p w:rsidR="006A4555" w:rsidRPr="006A4555" w:rsidRDefault="006A4555" w:rsidP="006A4555">
      <w:pPr>
        <w:spacing w:after="0" w:line="240" w:lineRule="auto"/>
        <w:jc w:val="both"/>
        <w:rPr>
          <w:rFonts w:ascii="Calibri" w:eastAsia="Times New Roman" w:hAnsi="Calibri" w:cs="Calibri"/>
          <w:color w:val="000000"/>
          <w:lang w:eastAsia="lv-LV"/>
        </w:rPr>
      </w:pPr>
      <w:r w:rsidRPr="006A4555">
        <w:rPr>
          <w:rFonts w:ascii="Times New Roman" w:eastAsia="Times New Roman" w:hAnsi="Times New Roman" w:cs="Times New Roman"/>
          <w:color w:val="000000"/>
          <w:sz w:val="24"/>
          <w:szCs w:val="24"/>
          <w:lang w:eastAsia="lv-LV"/>
        </w:rPr>
        <w:t xml:space="preserve">            </w:t>
      </w:r>
      <w:r w:rsidRPr="006A4555">
        <w:rPr>
          <w:rFonts w:ascii="Times New Roman , Times, serif" w:eastAsia="Times New Roman" w:hAnsi="Times New Roman , Times, serif" w:cs="Calibri"/>
          <w:color w:val="000000"/>
          <w:sz w:val="24"/>
          <w:szCs w:val="24"/>
          <w:lang w:eastAsia="lv-LV"/>
        </w:rPr>
        <w:t xml:space="preserve">3. Likumprojekta 19. panta pirmais teikums paredz, ka lēmumu par ilgtermiņa vīzas izsniegšanu pieņem 15 dienu laikā pēc visu Ministru kabineta noteikto dokumentu iesniegšanas. Administratīvā procesa likums paredz vispārīgo principu, ka administratīvo aktu izdod noteiktā termiņā pēc iesnieguma saņemšanas. Administratīvā procesa likuma 59. pants paredz kārtību, kādā iestāde iegūst administratīvā akta izdošanai nepieciešamo informāciju pēc administratīvās lietas ierosināšanas. Vēršam uzmanību, ka lēmuma pieņemšanas termiņa skaitīšana no brīža, kad persona iesniegusi visus dokumentus, var nesamērīgi pagarināt termiņu, kādā tiks pieņemts lēmums. Proti, formāli lēmuma pieņemšanai noteikts 15 dienu termiņš, taču faktiski nav zināms, cik garš tas būs, ja persona, iesniedzot iesniegumu, nebūs iesniegusi visus lēmuma pieņemšanai nepieciešamos dokumentus. Vienlaikus likumprojekta 21. panta pirmās daļas 1. punkts paredz, ka ilgtermiņa vīzas izsniegšanu atsaka, ja ārzemnieks nav iesniedzis visus Ministru kabineta un Latvijas pārstāvniecības noteiktos vīzas pieprasīšanai nepieciešamos dokumentus. Vēršam uzmanību, ka nav skaidrs, kā iestāde varēs pieņemt lēmumu atteikt ilgtermiņa vīzas izsniegšanu, ja nav iesniegti visi dokumenti, ja pēc būtības likumprojekta 19. pants paredz, ka vērtēt to, kāds lēmums </w:t>
      </w:r>
      <w:r w:rsidRPr="006A4555">
        <w:rPr>
          <w:rFonts w:ascii="Times New Roman , Times, serif" w:eastAsia="Times New Roman" w:hAnsi="Times New Roman , Times, serif" w:cs="Calibri"/>
          <w:color w:val="000000"/>
          <w:sz w:val="24"/>
          <w:szCs w:val="24"/>
          <w:lang w:eastAsia="lv-LV"/>
        </w:rPr>
        <w:lastRenderedPageBreak/>
        <w:t>pieņemams, var tikai tad, ja ir iesniegti visi nepieciešamie dokumenti. Ņemot vērā minēto, lūdzam izvērtēt likumprojekta 19. panta pirmajā teikumā noteiktā regulējuma samērīgumu, kā arī praktisko piemērojamību kontekstā ar likumprojekta 21. panta pirmās daļas 1. punktu un precizēt likumprojektu. </w:t>
      </w:r>
    </w:p>
    <w:p w:rsidR="006A4555" w:rsidRPr="006A4555" w:rsidRDefault="006A4555" w:rsidP="006A4555">
      <w:pPr>
        <w:spacing w:after="0" w:line="240" w:lineRule="auto"/>
        <w:jc w:val="both"/>
        <w:rPr>
          <w:rFonts w:ascii="Calibri" w:eastAsia="Times New Roman" w:hAnsi="Calibri" w:cs="Calibri"/>
          <w:color w:val="000000"/>
          <w:lang w:eastAsia="lv-LV"/>
        </w:rPr>
      </w:pPr>
      <w:r w:rsidRPr="006A4555">
        <w:rPr>
          <w:rFonts w:ascii="Times New Roman" w:eastAsia="Times New Roman" w:hAnsi="Times New Roman" w:cs="Times New Roman"/>
          <w:color w:val="000000"/>
          <w:sz w:val="24"/>
          <w:szCs w:val="24"/>
          <w:lang w:eastAsia="lv-LV"/>
        </w:rPr>
        <w:t xml:space="preserve">            </w:t>
      </w:r>
      <w:r w:rsidRPr="006A4555">
        <w:rPr>
          <w:rFonts w:ascii="Times New Roman , Times, serif" w:eastAsia="Times New Roman" w:hAnsi="Times New Roman , Times, serif" w:cs="Calibri"/>
          <w:color w:val="000000"/>
          <w:sz w:val="24"/>
          <w:szCs w:val="24"/>
          <w:lang w:eastAsia="lv-LV"/>
        </w:rPr>
        <w:t>4. Likumprojekta 32. panta otrā daļa paredz, ka Pilsonības un migrācijas lietu pārvalde pēc visu uzturēšanās atļaujas pieprasīšanai vai reģistrēšanai nepieciešamo dokumentu saņemšanas</w:t>
      </w:r>
      <w:r w:rsidRPr="006A4555">
        <w:rPr>
          <w:rFonts w:ascii="Times New Roman" w:eastAsia="Times New Roman" w:hAnsi="Times New Roman" w:cs="Times New Roman"/>
          <w:color w:val="000000"/>
          <w:sz w:val="24"/>
          <w:szCs w:val="24"/>
          <w:lang w:eastAsia="lv-LV"/>
        </w:rPr>
        <w:t xml:space="preserve">  </w:t>
      </w:r>
      <w:r w:rsidRPr="006A4555">
        <w:rPr>
          <w:rFonts w:ascii="Times New Roman , Times, serif" w:eastAsia="Times New Roman" w:hAnsi="Times New Roman , Times, serif" w:cs="Calibri"/>
          <w:color w:val="000000"/>
          <w:sz w:val="24"/>
          <w:szCs w:val="24"/>
          <w:lang w:eastAsia="lv-LV"/>
        </w:rPr>
        <w:t>tos izskata un sniedz atbildi 30 dienu vai 10 darbdienu laikā. Vienlaikus likumprojekta 32. panta ceturtā daļa paredz, ka, ja objektīvu iemeslu dēļ likumprojekta 32. panta otrajā vai trešajā daļā noteikto termiņu nav iespējams ievērot, Pilsonības un migrācijas lietu pārvalde to var pagarināt uz laiku, ne ilgāku par četriem mēnešiem no visu uzturēšanās atļaujas pieprasīšanai vai reģistrēšanai nepieciešamo dokumentu saņemšanas dienas. Administratīvā procesa likums paredz vispārīgo principu, ka administratīvo aktu izdod noteiktā termiņā pēc iesnieguma saņemšanas. Administratīvā procesa likuma 59. pants paredz kārtību, kādā iestāde iegūst administratīvā akta izdošanai nepieciešamo informāciju pēc administratīvās lietas ierosināšanas. Vēršam uzmanību, ka lēmuma pieņemšanas termiņa skaitīšana no brīža, kad persona iesniegusi visus dokumentus, var nesamērīgi pagarināt termiņu, kādā tiks pieņemts lēmums. Proti, formāli lēmuma pieņemšanai noteikts 30 dienu vai 10 darbdienu termiņš, taču faktiski nav zināms, cik garš tas būs, ja persona, iesniedzot iesniegumu, nebūs iesniegusi visus lēmuma pieņemšanai nepieciešamos dokumentus. Likumprojekta 33. panta pirmās daļas 1. punkts paredz, ka termiņuzturēšanās atļaujas izsniegšanu atsaka, ja ārzemnieks vai viņa uzaicinātājs nav iesniedzis visus Ministru kabineta noteikumos norādītos uzturēšanās atļaujas pieprasīšanai nepieciešamos dokumentus</w:t>
      </w:r>
      <w:r w:rsidRPr="006A4555">
        <w:rPr>
          <w:rFonts w:ascii="Times New Roman" w:eastAsia="Times New Roman" w:hAnsi="Times New Roman" w:cs="Times New Roman"/>
          <w:color w:val="000000"/>
          <w:sz w:val="24"/>
          <w:szCs w:val="24"/>
          <w:lang w:eastAsia="lv-LV"/>
        </w:rPr>
        <w:t xml:space="preserve">  </w:t>
      </w:r>
      <w:r w:rsidRPr="006A4555">
        <w:rPr>
          <w:rFonts w:ascii="Times New Roman , Times, serif" w:eastAsia="Times New Roman" w:hAnsi="Times New Roman , Times, serif" w:cs="Calibri"/>
          <w:color w:val="000000"/>
          <w:sz w:val="24"/>
          <w:szCs w:val="24"/>
          <w:lang w:eastAsia="lv-LV"/>
        </w:rPr>
        <w:t>vai nav sniedzis pieprasītos papildu paskaidrojumus vai dokumentus, kas saistīti ar uzturēšanās atļaujas saņemšanu. Savukārt likumprojekta 34. panta 2. punkts paredz, ka pastāvīgās uzturēšanās atļauju nepiešķir, ja ārzemnieks nav iesniedzis visus nepieciešamos dokumentus, un Pilsonības un migrācijas lietu pārvalde attiecīgo informāciju nevar iegūt pati. Vēršam uzmanību, ka nav skaidrs, kā iestāde varēs pieņemt lēmumu atteikt uzturēšanās atļaujas izsniegšanu, ja nav iesniegti visi dokumenti, ja pēc būtības likumprojekta 32. panta otrā daļa paredz, ka vērtēt to, kāds lēmums pieņemams, var tikai tad, ja ir iesniegti visi nepieciešamie dokumenti. Ņemot vērā minēto, lūdzam izvērtēt likumprojekta 32. panta otrajā daļā noteiktā regulējuma samērīgumu, kā arī praktisko piemērojamību kontekstā ar likumprojekta 33. panta pirmās daļas 1. punktu un 34. panta 2. punktu un precizēt likumprojektu. </w:t>
      </w:r>
    </w:p>
    <w:p w:rsidR="006A4555" w:rsidRPr="006A4555" w:rsidRDefault="006A4555" w:rsidP="006A4555">
      <w:pPr>
        <w:spacing w:after="0" w:line="240" w:lineRule="auto"/>
        <w:jc w:val="both"/>
        <w:rPr>
          <w:rFonts w:ascii="Calibri" w:eastAsia="Times New Roman" w:hAnsi="Calibri" w:cs="Calibri"/>
          <w:color w:val="000000"/>
          <w:lang w:eastAsia="lv-LV"/>
        </w:rPr>
      </w:pPr>
      <w:r w:rsidRPr="006A4555">
        <w:rPr>
          <w:rFonts w:ascii="Times New Roman" w:eastAsia="Times New Roman" w:hAnsi="Times New Roman" w:cs="Times New Roman"/>
          <w:color w:val="000000"/>
          <w:sz w:val="24"/>
          <w:szCs w:val="24"/>
          <w:lang w:eastAsia="lv-LV"/>
        </w:rPr>
        <w:t xml:space="preserve">            </w:t>
      </w:r>
      <w:r w:rsidRPr="006A4555">
        <w:rPr>
          <w:rFonts w:ascii="Times New Roman , Times, serif" w:eastAsia="Times New Roman" w:hAnsi="Times New Roman , Times, serif" w:cs="Calibri"/>
          <w:color w:val="000000"/>
          <w:sz w:val="24"/>
          <w:szCs w:val="24"/>
          <w:lang w:eastAsia="lv-LV"/>
        </w:rPr>
        <w:t xml:space="preserve">5. Likumprojekta 38. panta trešā daļa uzskaita, kādu informāciju Pilsonības un migrācijas lietu pārvaldei un Valsts robežsardzei sniedz akreditētas izglītības iestādes. Savukārt 38. panta pirmā un otrā daļa paredz, ka tiesas, Latvijas Republikas valsts un pašvaldību iestādes un ārzemnieks vai tā uzaicinātājs sniedz informāciju, ja ir mainījušies apstākļi, kas bija par pamatu uzturēšanās atļaujas saņemšanai, vai tās rīcībā ir informācija par likumprojekta 33., 34., 35. un 36. pantā minētajiem nosacījumiem. Proti, akreditētām izglītības iestādēm ir jāsniedz ļoti ierobežots informācijas apjoms, kas nozīmē, ka cita informācija, kas būs tās rīcībā tai jāsniedz nebūs. Vienlaikus likumprojekta 35. panta pirmās daļas 18. punkts paredz, ka termiņuzturēšanās atļauju var anulēt, ja ārzemnieks, kurš saņēmis termiņuzturēšanās atļauju kā students, studējot Latvijas Republikā, nav sasniedzis pietiekamu progresu studijās, studijām vienā studiju programmā vairāk nekā par vienu gadu pārsniedzot studiju līgumā noteikto studiju laiku, ja tas nav ilgāks par četriem gadiem, vai vairāk nekā par pusotru gadu pārsniedzot studiju līgumā noteikto studiju laiku, ja tas ir ilgāks par četriem gadiem, ja tam par pamatu nav no ārzemnieka neatkarīgi apstākļi. Šādu informāciju likumprojekta 38. panta trešā daļa akreditētām izglītības iestādēm sniegt neparedz. Ņemot vērā </w:t>
      </w:r>
      <w:r w:rsidRPr="006A4555">
        <w:rPr>
          <w:rFonts w:ascii="Times New Roman , Times, serif" w:eastAsia="Times New Roman" w:hAnsi="Times New Roman , Times, serif" w:cs="Calibri"/>
          <w:color w:val="000000"/>
          <w:sz w:val="24"/>
          <w:szCs w:val="24"/>
          <w:lang w:eastAsia="lv-LV"/>
        </w:rPr>
        <w:lastRenderedPageBreak/>
        <w:t xml:space="preserve">minēto, lūdzam izvērtēt, vai likumprojekta 38. panta trešajā daļā ir ietverta visa informācija, ko akreditētas izglītības iestādes savas kompetences ietvaros var sniegt, un attiecīgi precizēt likumprojekta 38. pantu. </w:t>
      </w:r>
    </w:p>
    <w:p w:rsidR="006A4555" w:rsidRPr="006A4555" w:rsidRDefault="006A4555" w:rsidP="006A4555">
      <w:pPr>
        <w:spacing w:after="0" w:line="240" w:lineRule="auto"/>
        <w:jc w:val="both"/>
        <w:rPr>
          <w:rFonts w:ascii="Calibri" w:eastAsia="Times New Roman" w:hAnsi="Calibri" w:cs="Calibri"/>
          <w:color w:val="000000"/>
          <w:lang w:eastAsia="lv-LV"/>
        </w:rPr>
      </w:pPr>
    </w:p>
    <w:p w:rsidR="006A4555" w:rsidRPr="006A4555" w:rsidRDefault="006A4555" w:rsidP="006A4555">
      <w:pPr>
        <w:spacing w:after="240" w:line="240" w:lineRule="auto"/>
        <w:jc w:val="both"/>
        <w:rPr>
          <w:rFonts w:ascii="Calibri" w:eastAsia="Times New Roman" w:hAnsi="Calibri" w:cs="Calibri"/>
          <w:color w:val="000000"/>
          <w:lang w:eastAsia="lv-LV"/>
        </w:rPr>
      </w:pPr>
      <w:r w:rsidRPr="006A4555">
        <w:rPr>
          <w:rFonts w:ascii="Times New Roman , Times, serif" w:eastAsia="Times New Roman" w:hAnsi="Times New Roman , Times, serif" w:cs="Calibri"/>
          <w:color w:val="000000"/>
          <w:sz w:val="24"/>
          <w:szCs w:val="24"/>
          <w:lang w:eastAsia="lv-LV"/>
        </w:rPr>
        <w:t xml:space="preserve">         </w:t>
      </w:r>
    </w:p>
    <w:p w:rsidR="006A4555" w:rsidRPr="006A4555" w:rsidRDefault="006A4555" w:rsidP="006A4555">
      <w:pPr>
        <w:spacing w:after="0" w:line="240" w:lineRule="auto"/>
        <w:jc w:val="both"/>
        <w:rPr>
          <w:rFonts w:ascii="Calibri" w:eastAsia="Times New Roman" w:hAnsi="Calibri" w:cs="Calibri"/>
          <w:color w:val="000000"/>
          <w:lang w:eastAsia="lv-LV"/>
        </w:rPr>
      </w:pPr>
      <w:r w:rsidRPr="006A4555">
        <w:rPr>
          <w:rFonts w:ascii="Times New Roman" w:eastAsia="Times New Roman" w:hAnsi="Times New Roman" w:cs="Times New Roman"/>
          <w:color w:val="000000"/>
          <w:sz w:val="24"/>
          <w:szCs w:val="24"/>
          <w:lang w:eastAsia="lv-LV"/>
        </w:rPr>
        <w:t xml:space="preserve">            </w:t>
      </w:r>
      <w:r w:rsidRPr="006A4555">
        <w:rPr>
          <w:rFonts w:ascii="Times New Roman , Times, serif" w:eastAsia="Times New Roman" w:hAnsi="Times New Roman , Times, serif" w:cs="Calibri"/>
          <w:color w:val="000000"/>
          <w:sz w:val="24"/>
          <w:szCs w:val="24"/>
          <w:lang w:eastAsia="lv-LV"/>
        </w:rPr>
        <w:t>Vienlaikus izsakām šādus priekšlikumus: </w:t>
      </w:r>
    </w:p>
    <w:p w:rsidR="006A4555" w:rsidRPr="006A4555" w:rsidRDefault="006A4555" w:rsidP="006A4555">
      <w:pPr>
        <w:spacing w:after="0" w:line="240" w:lineRule="auto"/>
        <w:jc w:val="both"/>
        <w:rPr>
          <w:rFonts w:ascii="Calibri" w:eastAsia="Times New Roman" w:hAnsi="Calibri" w:cs="Calibri"/>
          <w:color w:val="000000"/>
          <w:lang w:eastAsia="lv-LV"/>
        </w:rPr>
      </w:pPr>
      <w:r w:rsidRPr="006A4555">
        <w:rPr>
          <w:rFonts w:ascii="Times New Roman" w:eastAsia="Times New Roman" w:hAnsi="Times New Roman" w:cs="Times New Roman"/>
          <w:color w:val="000000"/>
          <w:sz w:val="24"/>
          <w:szCs w:val="24"/>
          <w:lang w:eastAsia="lv-LV"/>
        </w:rPr>
        <w:t xml:space="preserve">            </w:t>
      </w:r>
      <w:r w:rsidRPr="006A4555">
        <w:rPr>
          <w:rFonts w:ascii="Times New Roman , Times, serif" w:eastAsia="Times New Roman" w:hAnsi="Times New Roman , Times, serif" w:cs="Calibri"/>
          <w:color w:val="000000"/>
          <w:sz w:val="24"/>
          <w:szCs w:val="24"/>
          <w:lang w:eastAsia="lv-LV"/>
        </w:rPr>
        <w:t>1. Lūdzam likumprojekta tekstā precizēt lietoto terminoloģiju: "augstākās izglītības iestāde", "augstākās izglītības institūcija" un "augstskola un koledža" un "zinātniskā institūcija" un "zinātniskais institūts". </w:t>
      </w:r>
    </w:p>
    <w:p w:rsidR="006A4555" w:rsidRPr="006A4555" w:rsidRDefault="006A4555" w:rsidP="006A4555">
      <w:pPr>
        <w:spacing w:after="0" w:line="240" w:lineRule="auto"/>
        <w:ind w:firstLine="720"/>
        <w:jc w:val="both"/>
        <w:rPr>
          <w:rFonts w:ascii="Calibri" w:eastAsia="Times New Roman" w:hAnsi="Calibri" w:cs="Calibri"/>
          <w:color w:val="000000"/>
          <w:lang w:eastAsia="lv-LV"/>
        </w:rPr>
      </w:pPr>
      <w:r w:rsidRPr="006A4555">
        <w:rPr>
          <w:rFonts w:ascii="Times New Roman , Times, serif" w:eastAsia="Times New Roman" w:hAnsi="Times New Roman , Times, serif" w:cs="Calibri"/>
          <w:color w:val="000000"/>
          <w:sz w:val="24"/>
          <w:szCs w:val="24"/>
          <w:lang w:eastAsia="lv-LV"/>
        </w:rPr>
        <w:t>2. Likumprojekta 1. panta 24. punktā ietverts termina "studējošais" skaidrojums, vienlaikus tālāk likumprojekta tekstā tiek lietots termins "students". Lūdzam precizēt likumprojekta tekstu. </w:t>
      </w:r>
    </w:p>
    <w:p w:rsidR="006A4555" w:rsidRPr="006A4555" w:rsidRDefault="006A4555" w:rsidP="006A4555">
      <w:pPr>
        <w:spacing w:after="0" w:line="240" w:lineRule="auto"/>
        <w:jc w:val="both"/>
        <w:rPr>
          <w:rFonts w:ascii="Calibri" w:eastAsia="Times New Roman" w:hAnsi="Calibri" w:cs="Calibri"/>
          <w:color w:val="000000"/>
          <w:lang w:eastAsia="lv-LV"/>
        </w:rPr>
      </w:pPr>
      <w:r w:rsidRPr="006A4555">
        <w:rPr>
          <w:rFonts w:ascii="Times New Roman" w:eastAsia="Times New Roman" w:hAnsi="Times New Roman" w:cs="Times New Roman"/>
          <w:color w:val="000000"/>
          <w:sz w:val="24"/>
          <w:szCs w:val="24"/>
          <w:lang w:eastAsia="lv-LV"/>
        </w:rPr>
        <w:t xml:space="preserve">            </w:t>
      </w:r>
      <w:r w:rsidRPr="006A4555">
        <w:rPr>
          <w:rFonts w:ascii="Times New Roman , Times, serif" w:eastAsia="Times New Roman" w:hAnsi="Times New Roman , Times, serif" w:cs="Calibri"/>
          <w:color w:val="000000"/>
          <w:sz w:val="24"/>
          <w:szCs w:val="24"/>
          <w:lang w:eastAsia="lv-LV"/>
        </w:rPr>
        <w:t>3. Likumprojekta 11. panta septītā daļa paredz, ka šā panta piektajā un sestajā daļā minētā apstrīdēšanas iesnieguma vai pārsūdzēšanas pieteikuma iesniegšana neaptur tā darbību. Nav saprotams, kā darbību neaptur apstrīdēšanas iesnieguma un pārsūdzēšanas pieteikuma iesniegšana, jo, gramatiski lasot, var secināt, ka apturēta netiek iesnieguma un pieteikuma darbība. Citur likumprojekta tekstā tiek noteikts, ka lēmuma apstrīdēšana un pārsūdzēšana neaptur tā darbību. Ņemot vērā minēto, aicinām precizēt likumprojekta 11. panta septīto daļu. </w:t>
      </w:r>
    </w:p>
    <w:p w:rsidR="006A4555" w:rsidRPr="006A4555" w:rsidRDefault="006A4555" w:rsidP="006A4555">
      <w:pPr>
        <w:spacing w:after="0" w:line="240" w:lineRule="auto"/>
        <w:jc w:val="both"/>
        <w:rPr>
          <w:rFonts w:ascii="Calibri" w:eastAsia="Times New Roman" w:hAnsi="Calibri" w:cs="Calibri"/>
          <w:color w:val="000000"/>
          <w:lang w:eastAsia="lv-LV"/>
        </w:rPr>
      </w:pPr>
      <w:r w:rsidRPr="006A4555">
        <w:rPr>
          <w:rFonts w:ascii="Times New Roman" w:eastAsia="Times New Roman" w:hAnsi="Times New Roman" w:cs="Times New Roman"/>
          <w:color w:val="000000"/>
          <w:sz w:val="24"/>
          <w:szCs w:val="24"/>
          <w:lang w:eastAsia="lv-LV"/>
        </w:rPr>
        <w:t xml:space="preserve">            </w:t>
      </w:r>
      <w:r w:rsidRPr="006A4555">
        <w:rPr>
          <w:rFonts w:ascii="Times New Roman , Times, serif" w:eastAsia="Times New Roman" w:hAnsi="Times New Roman , Times, serif" w:cs="Calibri"/>
          <w:color w:val="000000"/>
          <w:sz w:val="24"/>
          <w:szCs w:val="24"/>
          <w:lang w:eastAsia="lv-LV"/>
        </w:rPr>
        <w:t>4. Likumprojekta 32. panta trešā daļa paredz, kādā termiņā pieņem lēmumu, ja ārzemnieka likumīgās uzturēšanās laiks Latvijas Republikā ir īsāks nekā likumprojekta 32. panta pirmajā daļā noteiktajā dokumentu izskatīšanas un uzturēšanās atļaujas sagatavošanas laiks. Vēršam uzmanību, ka dokumentu izskatīšanas termiņš ir noteikts likumprojekta 32. panta otrajā daļā, līdz ar to aicinām precizēt likumprojekta 32. panta trešajā daļā ietverto atsauci. </w:t>
      </w:r>
    </w:p>
    <w:p w:rsidR="006A4555" w:rsidRPr="006A4555" w:rsidRDefault="006A4555" w:rsidP="006A4555">
      <w:pPr>
        <w:spacing w:after="0" w:line="240" w:lineRule="auto"/>
        <w:jc w:val="both"/>
        <w:rPr>
          <w:rFonts w:ascii="Calibri" w:eastAsia="Times New Roman" w:hAnsi="Calibri" w:cs="Calibri"/>
          <w:color w:val="000000"/>
          <w:lang w:eastAsia="lv-LV"/>
        </w:rPr>
      </w:pPr>
      <w:r w:rsidRPr="006A4555">
        <w:rPr>
          <w:rFonts w:ascii="Times New Roman" w:eastAsia="Times New Roman" w:hAnsi="Times New Roman" w:cs="Times New Roman"/>
          <w:color w:val="000000"/>
          <w:sz w:val="24"/>
          <w:szCs w:val="24"/>
          <w:lang w:eastAsia="lv-LV"/>
        </w:rPr>
        <w:t xml:space="preserve">            </w:t>
      </w:r>
      <w:r w:rsidRPr="006A4555">
        <w:rPr>
          <w:rFonts w:ascii="Times New Roman , Times, serif" w:eastAsia="Times New Roman" w:hAnsi="Times New Roman , Times, serif" w:cs="Calibri"/>
          <w:color w:val="000000"/>
          <w:sz w:val="24"/>
          <w:szCs w:val="24"/>
          <w:lang w:eastAsia="lv-LV"/>
        </w:rPr>
        <w:t>5. Likumprojekta 93. panta trešās daļas otrais teikums paredz, ka izdevumus, kas saistīti ar šāda nepilngadīga ārzemnieka izmitināšanu audžuģimenē, pie aizbildņa vai bērnu aprūpes iestādē sedz no valsts budžeta Ministru kabineta noteiktajā kārtībā. Vēršam uzmanību, ka Ministru kabineta 2009. gada 3. februāra noteikumu Nr. 108 "Normatīvo aktu projektu sagatavošanas noteikumi" 62. punkts paredz, ka likumprojektā neietver atsauces uz zemāka juridiskā spēka normatīvo aktu. Ņemot vērā minēto, lūdzam precizēt likumprojekta 93. panta trešās daļas otro teikumu.</w:t>
      </w:r>
    </w:p>
    <w:p w:rsidR="006A4555" w:rsidRPr="006A4555" w:rsidRDefault="006A4555" w:rsidP="006A4555">
      <w:pPr>
        <w:spacing w:after="0" w:line="240" w:lineRule="auto"/>
        <w:jc w:val="both"/>
        <w:rPr>
          <w:rFonts w:ascii="Calibri" w:eastAsia="Times New Roman" w:hAnsi="Calibri" w:cs="Calibri"/>
          <w:color w:val="000000"/>
          <w:lang w:eastAsia="lv-LV"/>
        </w:rPr>
      </w:pPr>
      <w:r w:rsidRPr="006A4555">
        <w:rPr>
          <w:rFonts w:ascii="Times New Roman , Times, serif" w:eastAsia="Times New Roman" w:hAnsi="Times New Roman , Times, serif" w:cs="Calibri"/>
          <w:color w:val="000000"/>
          <w:sz w:val="24"/>
          <w:szCs w:val="24"/>
          <w:lang w:eastAsia="lv-LV"/>
        </w:rPr>
        <w:t xml:space="preserve">           </w:t>
      </w:r>
    </w:p>
    <w:p w:rsidR="006A4555" w:rsidRPr="006A4555" w:rsidRDefault="006A4555" w:rsidP="006A4555">
      <w:pPr>
        <w:spacing w:after="0" w:line="240" w:lineRule="auto"/>
        <w:jc w:val="both"/>
        <w:rPr>
          <w:rFonts w:ascii="Calibri" w:eastAsia="Times New Roman" w:hAnsi="Calibri" w:cs="Calibri"/>
          <w:color w:val="000000"/>
          <w:lang w:eastAsia="lv-LV"/>
        </w:rPr>
      </w:pPr>
      <w:r w:rsidRPr="006A4555">
        <w:rPr>
          <w:rFonts w:ascii="Times New Roman , Times, serif" w:eastAsia="Times New Roman" w:hAnsi="Times New Roman , Times, serif" w:cs="Calibri"/>
          <w:color w:val="000000"/>
          <w:sz w:val="24"/>
          <w:szCs w:val="24"/>
          <w:lang w:eastAsia="lv-LV"/>
        </w:rPr>
        <w:t>Patiesā cieņā</w:t>
      </w:r>
    </w:p>
    <w:p w:rsidR="006A4555" w:rsidRPr="006A4555" w:rsidRDefault="006A4555" w:rsidP="006A4555">
      <w:pPr>
        <w:spacing w:after="0" w:line="240" w:lineRule="auto"/>
        <w:jc w:val="both"/>
        <w:rPr>
          <w:rFonts w:ascii="Calibri" w:eastAsia="Times New Roman" w:hAnsi="Calibri" w:cs="Calibri"/>
          <w:color w:val="000000"/>
          <w:lang w:eastAsia="lv-LV"/>
        </w:rPr>
      </w:pPr>
    </w:p>
    <w:p w:rsidR="006A4555" w:rsidRPr="006A4555" w:rsidRDefault="006A4555" w:rsidP="006A4555">
      <w:pPr>
        <w:spacing w:after="0" w:line="240" w:lineRule="auto"/>
        <w:jc w:val="both"/>
        <w:rPr>
          <w:rFonts w:ascii="Calibri" w:eastAsia="Times New Roman" w:hAnsi="Calibri" w:cs="Calibri"/>
          <w:color w:val="000000"/>
          <w:lang w:eastAsia="lv-LV"/>
        </w:rPr>
      </w:pPr>
      <w:r w:rsidRPr="006A4555">
        <w:rPr>
          <w:rFonts w:ascii="Times New Roman , Times, serif" w:eastAsia="Times New Roman" w:hAnsi="Times New Roman , Times, serif" w:cs="Calibri"/>
          <w:color w:val="000000"/>
          <w:sz w:val="24"/>
          <w:szCs w:val="24"/>
          <w:lang w:eastAsia="lv-LV"/>
        </w:rPr>
        <w:t>Edgars Gūte</w:t>
      </w:r>
    </w:p>
    <w:p w:rsidR="006A4555" w:rsidRPr="006A4555" w:rsidRDefault="006A4555" w:rsidP="006A4555">
      <w:pPr>
        <w:spacing w:after="0" w:line="240" w:lineRule="auto"/>
        <w:jc w:val="both"/>
        <w:rPr>
          <w:rFonts w:ascii="Calibri" w:eastAsia="Times New Roman" w:hAnsi="Calibri" w:cs="Calibri"/>
          <w:color w:val="000000"/>
          <w:lang w:eastAsia="lv-LV"/>
        </w:rPr>
      </w:pPr>
      <w:r w:rsidRPr="006A4555">
        <w:rPr>
          <w:rFonts w:ascii="Times New Roman , Times, serif" w:eastAsia="Times New Roman" w:hAnsi="Times New Roman , Times, serif" w:cs="Calibri"/>
          <w:color w:val="000000"/>
          <w:sz w:val="24"/>
          <w:szCs w:val="24"/>
          <w:lang w:eastAsia="lv-LV"/>
        </w:rPr>
        <w:t>Eva Krjukova</w:t>
      </w:r>
    </w:p>
    <w:p w:rsidR="006A4555" w:rsidRPr="006A4555" w:rsidRDefault="006A4555" w:rsidP="006A4555">
      <w:pPr>
        <w:spacing w:after="0" w:line="240" w:lineRule="auto"/>
        <w:jc w:val="both"/>
        <w:rPr>
          <w:rFonts w:ascii="Calibri" w:eastAsia="Times New Roman" w:hAnsi="Calibri" w:cs="Calibri"/>
          <w:color w:val="000000"/>
          <w:lang w:eastAsia="lv-LV"/>
        </w:rPr>
      </w:pPr>
      <w:r w:rsidRPr="006A4555">
        <w:rPr>
          <w:rFonts w:ascii="Times New Roman , Times, serif" w:eastAsia="Times New Roman" w:hAnsi="Times New Roman , Times, serif" w:cs="Calibri"/>
          <w:color w:val="000000"/>
          <w:sz w:val="24"/>
          <w:szCs w:val="24"/>
          <w:lang w:eastAsia="lv-LV"/>
        </w:rPr>
        <w:t>Linda Upīte</w:t>
      </w:r>
    </w:p>
    <w:p w:rsidR="006A4555" w:rsidRPr="006A4555" w:rsidRDefault="006A4555" w:rsidP="006A4555">
      <w:pPr>
        <w:spacing w:after="0" w:line="240" w:lineRule="auto"/>
        <w:jc w:val="both"/>
        <w:rPr>
          <w:rFonts w:ascii="Calibri" w:eastAsia="Times New Roman" w:hAnsi="Calibri" w:cs="Calibri"/>
          <w:color w:val="000000"/>
          <w:lang w:eastAsia="lv-LV"/>
        </w:rPr>
      </w:pPr>
    </w:p>
    <w:p w:rsidR="006A4555" w:rsidRPr="006A4555" w:rsidRDefault="006A4555" w:rsidP="006A4555">
      <w:pPr>
        <w:spacing w:after="0" w:line="240" w:lineRule="auto"/>
        <w:jc w:val="both"/>
        <w:rPr>
          <w:rFonts w:ascii="Calibri" w:eastAsia="Times New Roman" w:hAnsi="Calibri" w:cs="Calibri"/>
          <w:color w:val="000000"/>
          <w:lang w:eastAsia="lv-LV"/>
        </w:rPr>
      </w:pPr>
      <w:r w:rsidRPr="006A4555">
        <w:rPr>
          <w:rFonts w:ascii="Times New Roman , Times, serif" w:eastAsia="Times New Roman" w:hAnsi="Times New Roman , Times, serif" w:cs="Calibri"/>
          <w:color w:val="000000"/>
          <w:sz w:val="24"/>
          <w:szCs w:val="24"/>
          <w:lang w:eastAsia="lv-LV"/>
        </w:rPr>
        <w:t>TM</w:t>
      </w:r>
    </w:p>
    <w:sectPr w:rsidR="006A4555" w:rsidRPr="006A4555" w:rsidSect="006A4555">
      <w:headerReference w:type="default" r:id="rId12"/>
      <w:footerReference w:type="default" r:id="rId13"/>
      <w:footerReference w:type="first" r:id="rId14"/>
      <w:pgSz w:w="11906" w:h="16838"/>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4555" w:rsidRDefault="006A4555" w:rsidP="006A4555">
      <w:pPr>
        <w:spacing w:after="0" w:line="240" w:lineRule="auto"/>
      </w:pPr>
      <w:r>
        <w:separator/>
      </w:r>
    </w:p>
  </w:endnote>
  <w:endnote w:type="continuationSeparator" w:id="0">
    <w:p w:rsidR="006A4555" w:rsidRDefault="006A4555" w:rsidP="006A45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imes New Roman , Times, serif">
    <w:altName w:val="Times New Roman"/>
    <w:panose1 w:val="00000000000000000000"/>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4555" w:rsidRDefault="006A4555">
    <w:pPr>
      <w:pStyle w:val="Footer"/>
    </w:pPr>
    <w:r>
      <w:t>TMAtz_150121</w:t>
    </w:r>
  </w:p>
  <w:p w:rsidR="006A4555" w:rsidRDefault="006A45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4555" w:rsidRDefault="006A4555">
    <w:pPr>
      <w:pStyle w:val="Footer"/>
    </w:pPr>
    <w:r>
      <w:t>TMAtz_150121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4555" w:rsidRDefault="006A4555" w:rsidP="006A4555">
      <w:pPr>
        <w:spacing w:after="0" w:line="240" w:lineRule="auto"/>
      </w:pPr>
      <w:r>
        <w:separator/>
      </w:r>
    </w:p>
  </w:footnote>
  <w:footnote w:type="continuationSeparator" w:id="0">
    <w:p w:rsidR="006A4555" w:rsidRDefault="006A4555" w:rsidP="006A45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4779937"/>
      <w:docPartObj>
        <w:docPartGallery w:val="Page Numbers (Top of Page)"/>
        <w:docPartUnique/>
      </w:docPartObj>
    </w:sdtPr>
    <w:sdtEndPr>
      <w:rPr>
        <w:noProof/>
      </w:rPr>
    </w:sdtEndPr>
    <w:sdtContent>
      <w:p w:rsidR="006A4555" w:rsidRDefault="006A4555">
        <w:pPr>
          <w:pStyle w:val="Header"/>
          <w:jc w:val="center"/>
        </w:pPr>
        <w:r>
          <w:fldChar w:fldCharType="begin"/>
        </w:r>
        <w:r>
          <w:instrText xml:space="preserve"> PAGE   \* MERGEFORMAT </w:instrText>
        </w:r>
        <w:r>
          <w:fldChar w:fldCharType="separate"/>
        </w:r>
        <w:r>
          <w:rPr>
            <w:noProof/>
          </w:rPr>
          <w:t>4</w:t>
        </w:r>
        <w:r>
          <w:rPr>
            <w:noProof/>
          </w:rPr>
          <w:fldChar w:fldCharType="end"/>
        </w:r>
      </w:p>
    </w:sdtContent>
  </w:sdt>
  <w:p w:rsidR="006A4555" w:rsidRDefault="006A455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4555"/>
    <w:rsid w:val="005B1635"/>
    <w:rsid w:val="006A455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8AB29"/>
  <w15:chartTrackingRefBased/>
  <w15:docId w15:val="{D81D58D8-A814-403F-8948-49DA1E4AC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A4555"/>
    <w:rPr>
      <w:color w:val="0000FF"/>
      <w:u w:val="single"/>
    </w:rPr>
  </w:style>
  <w:style w:type="paragraph" w:styleId="NormalWeb">
    <w:name w:val="Normal (Web)"/>
    <w:basedOn w:val="Normal"/>
    <w:uiPriority w:val="99"/>
    <w:semiHidden/>
    <w:unhideWhenUsed/>
    <w:rsid w:val="006A4555"/>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msonormal">
    <w:name w:val="x_msonormal"/>
    <w:basedOn w:val="Normal"/>
    <w:rsid w:val="006A4555"/>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Header">
    <w:name w:val="header"/>
    <w:basedOn w:val="Normal"/>
    <w:link w:val="HeaderChar"/>
    <w:uiPriority w:val="99"/>
    <w:unhideWhenUsed/>
    <w:rsid w:val="006A4555"/>
    <w:pPr>
      <w:tabs>
        <w:tab w:val="center" w:pos="4153"/>
        <w:tab w:val="right" w:pos="8306"/>
      </w:tabs>
      <w:spacing w:after="0" w:line="240" w:lineRule="auto"/>
    </w:pPr>
  </w:style>
  <w:style w:type="character" w:customStyle="1" w:styleId="HeaderChar">
    <w:name w:val="Header Char"/>
    <w:basedOn w:val="DefaultParagraphFont"/>
    <w:link w:val="Header"/>
    <w:uiPriority w:val="99"/>
    <w:rsid w:val="006A4555"/>
  </w:style>
  <w:style w:type="paragraph" w:styleId="Footer">
    <w:name w:val="footer"/>
    <w:basedOn w:val="Normal"/>
    <w:link w:val="FooterChar"/>
    <w:uiPriority w:val="99"/>
    <w:unhideWhenUsed/>
    <w:rsid w:val="006A4555"/>
    <w:pPr>
      <w:tabs>
        <w:tab w:val="center" w:pos="4153"/>
        <w:tab w:val="right" w:pos="8306"/>
      </w:tabs>
      <w:spacing w:after="0" w:line="240" w:lineRule="auto"/>
    </w:pPr>
  </w:style>
  <w:style w:type="character" w:customStyle="1" w:styleId="FooterChar">
    <w:name w:val="Footer Char"/>
    <w:basedOn w:val="DefaultParagraphFont"/>
    <w:link w:val="Footer"/>
    <w:uiPriority w:val="99"/>
    <w:rsid w:val="006A45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1324241">
      <w:bodyDiv w:val="1"/>
      <w:marLeft w:val="0"/>
      <w:marRight w:val="0"/>
      <w:marTop w:val="0"/>
      <w:marBottom w:val="0"/>
      <w:divBdr>
        <w:top w:val="none" w:sz="0" w:space="0" w:color="auto"/>
        <w:left w:val="none" w:sz="0" w:space="0" w:color="auto"/>
        <w:bottom w:val="none" w:sz="0" w:space="0" w:color="auto"/>
        <w:right w:val="none" w:sz="0" w:space="0" w:color="auto"/>
      </w:divBdr>
      <w:divsChild>
        <w:div w:id="1274049780">
          <w:marLeft w:val="0"/>
          <w:marRight w:val="0"/>
          <w:marTop w:val="0"/>
          <w:marBottom w:val="0"/>
          <w:divBdr>
            <w:top w:val="none" w:sz="0" w:space="0" w:color="auto"/>
            <w:left w:val="none" w:sz="0" w:space="0" w:color="auto"/>
            <w:bottom w:val="none" w:sz="0" w:space="0" w:color="auto"/>
            <w:right w:val="none" w:sz="0" w:space="0" w:color="auto"/>
          </w:divBdr>
          <w:divsChild>
            <w:div w:id="30232812">
              <w:marLeft w:val="0"/>
              <w:marRight w:val="0"/>
              <w:marTop w:val="0"/>
              <w:marBottom w:val="0"/>
              <w:divBdr>
                <w:top w:val="none" w:sz="0" w:space="0" w:color="auto"/>
                <w:left w:val="none" w:sz="0" w:space="0" w:color="auto"/>
                <w:bottom w:val="none" w:sz="0" w:space="0" w:color="auto"/>
                <w:right w:val="none" w:sz="0" w:space="0" w:color="auto"/>
              </w:divBdr>
            </w:div>
            <w:div w:id="431322139">
              <w:marLeft w:val="0"/>
              <w:marRight w:val="0"/>
              <w:marTop w:val="0"/>
              <w:marBottom w:val="0"/>
              <w:divBdr>
                <w:top w:val="none" w:sz="0" w:space="0" w:color="auto"/>
                <w:left w:val="none" w:sz="0" w:space="0" w:color="auto"/>
                <w:bottom w:val="none" w:sz="0" w:space="0" w:color="auto"/>
                <w:right w:val="none" w:sz="0" w:space="0" w:color="auto"/>
              </w:divBdr>
            </w:div>
            <w:div w:id="1373505066">
              <w:marLeft w:val="0"/>
              <w:marRight w:val="0"/>
              <w:marTop w:val="0"/>
              <w:marBottom w:val="0"/>
              <w:divBdr>
                <w:top w:val="none" w:sz="0" w:space="0" w:color="auto"/>
                <w:left w:val="none" w:sz="0" w:space="0" w:color="auto"/>
                <w:bottom w:val="none" w:sz="0" w:space="0" w:color="auto"/>
                <w:right w:val="none" w:sz="0" w:space="0" w:color="auto"/>
              </w:divBdr>
            </w:div>
            <w:div w:id="78259109">
              <w:marLeft w:val="0"/>
              <w:marRight w:val="0"/>
              <w:marTop w:val="0"/>
              <w:marBottom w:val="0"/>
              <w:divBdr>
                <w:top w:val="none" w:sz="0" w:space="0" w:color="auto"/>
                <w:left w:val="none" w:sz="0" w:space="0" w:color="auto"/>
                <w:bottom w:val="none" w:sz="0" w:space="0" w:color="auto"/>
                <w:right w:val="none" w:sz="0" w:space="0" w:color="auto"/>
              </w:divBdr>
            </w:div>
            <w:div w:id="292373806">
              <w:marLeft w:val="0"/>
              <w:marRight w:val="0"/>
              <w:marTop w:val="0"/>
              <w:marBottom w:val="0"/>
              <w:divBdr>
                <w:top w:val="none" w:sz="0" w:space="0" w:color="auto"/>
                <w:left w:val="none" w:sz="0" w:space="0" w:color="auto"/>
                <w:bottom w:val="none" w:sz="0" w:space="0" w:color="auto"/>
                <w:right w:val="none" w:sz="0" w:space="0" w:color="auto"/>
              </w:divBdr>
            </w:div>
            <w:div w:id="184563896">
              <w:marLeft w:val="0"/>
              <w:marRight w:val="0"/>
              <w:marTop w:val="0"/>
              <w:marBottom w:val="0"/>
              <w:divBdr>
                <w:top w:val="none" w:sz="0" w:space="0" w:color="auto"/>
                <w:left w:val="none" w:sz="0" w:space="0" w:color="auto"/>
                <w:bottom w:val="none" w:sz="0" w:space="0" w:color="auto"/>
                <w:right w:val="none" w:sz="0" w:space="0" w:color="auto"/>
              </w:divBdr>
            </w:div>
            <w:div w:id="2054034125">
              <w:marLeft w:val="0"/>
              <w:marRight w:val="0"/>
              <w:marTop w:val="0"/>
              <w:marBottom w:val="0"/>
              <w:divBdr>
                <w:top w:val="none" w:sz="0" w:space="0" w:color="auto"/>
                <w:left w:val="none" w:sz="0" w:space="0" w:color="auto"/>
                <w:bottom w:val="none" w:sz="0" w:space="0" w:color="auto"/>
                <w:right w:val="none" w:sz="0" w:space="0" w:color="auto"/>
              </w:divBdr>
            </w:div>
            <w:div w:id="1507212913">
              <w:marLeft w:val="0"/>
              <w:marRight w:val="0"/>
              <w:marTop w:val="0"/>
              <w:marBottom w:val="0"/>
              <w:divBdr>
                <w:top w:val="none" w:sz="0" w:space="0" w:color="auto"/>
                <w:left w:val="none" w:sz="0" w:space="0" w:color="auto"/>
                <w:bottom w:val="none" w:sz="0" w:space="0" w:color="auto"/>
                <w:right w:val="none" w:sz="0" w:space="0" w:color="auto"/>
              </w:divBdr>
            </w:div>
            <w:div w:id="414135512">
              <w:marLeft w:val="0"/>
              <w:marRight w:val="0"/>
              <w:marTop w:val="0"/>
              <w:marBottom w:val="0"/>
              <w:divBdr>
                <w:top w:val="none" w:sz="0" w:space="0" w:color="auto"/>
                <w:left w:val="none" w:sz="0" w:space="0" w:color="auto"/>
                <w:bottom w:val="none" w:sz="0" w:space="0" w:color="auto"/>
                <w:right w:val="none" w:sz="0" w:space="0" w:color="auto"/>
              </w:divBdr>
            </w:div>
          </w:divsChild>
        </w:div>
        <w:div w:id="1472677292">
          <w:marLeft w:val="0"/>
          <w:marRight w:val="0"/>
          <w:marTop w:val="0"/>
          <w:marBottom w:val="0"/>
          <w:divBdr>
            <w:top w:val="none" w:sz="0" w:space="0" w:color="auto"/>
            <w:left w:val="none" w:sz="0" w:space="0" w:color="auto"/>
            <w:bottom w:val="none" w:sz="0" w:space="0" w:color="auto"/>
            <w:right w:val="none" w:sz="0" w:space="0" w:color="auto"/>
          </w:divBdr>
        </w:div>
        <w:div w:id="286854627">
          <w:marLeft w:val="0"/>
          <w:marRight w:val="0"/>
          <w:marTop w:val="0"/>
          <w:marBottom w:val="0"/>
          <w:divBdr>
            <w:top w:val="none" w:sz="0" w:space="0" w:color="auto"/>
            <w:left w:val="none" w:sz="0" w:space="0" w:color="auto"/>
            <w:bottom w:val="none" w:sz="0" w:space="0" w:color="auto"/>
            <w:right w:val="none" w:sz="0" w:space="0" w:color="auto"/>
          </w:divBdr>
          <w:divsChild>
            <w:div w:id="2110468647">
              <w:marLeft w:val="0"/>
              <w:marRight w:val="0"/>
              <w:marTop w:val="0"/>
              <w:marBottom w:val="0"/>
              <w:divBdr>
                <w:top w:val="none" w:sz="0" w:space="0" w:color="auto"/>
                <w:left w:val="none" w:sz="0" w:space="0" w:color="auto"/>
                <w:bottom w:val="none" w:sz="0" w:space="0" w:color="auto"/>
                <w:right w:val="none" w:sz="0" w:space="0" w:color="auto"/>
              </w:divBdr>
            </w:div>
          </w:divsChild>
        </w:div>
        <w:div w:id="2077237696">
          <w:marLeft w:val="0"/>
          <w:marRight w:val="0"/>
          <w:marTop w:val="0"/>
          <w:marBottom w:val="0"/>
          <w:divBdr>
            <w:top w:val="none" w:sz="0" w:space="0" w:color="auto"/>
            <w:left w:val="none" w:sz="0" w:space="0" w:color="auto"/>
            <w:bottom w:val="none" w:sz="0" w:space="0" w:color="auto"/>
            <w:right w:val="none" w:sz="0" w:space="0" w:color="auto"/>
          </w:divBdr>
          <w:divsChild>
            <w:div w:id="1531644046">
              <w:marLeft w:val="0"/>
              <w:marRight w:val="0"/>
              <w:marTop w:val="0"/>
              <w:marBottom w:val="0"/>
              <w:divBdr>
                <w:top w:val="none" w:sz="0" w:space="0" w:color="auto"/>
                <w:left w:val="none" w:sz="0" w:space="0" w:color="auto"/>
                <w:bottom w:val="none" w:sz="0" w:space="0" w:color="auto"/>
                <w:right w:val="none" w:sz="0" w:space="0" w:color="auto"/>
              </w:divBdr>
            </w:div>
            <w:div w:id="1117718979">
              <w:marLeft w:val="0"/>
              <w:marRight w:val="0"/>
              <w:marTop w:val="0"/>
              <w:marBottom w:val="0"/>
              <w:divBdr>
                <w:top w:val="none" w:sz="0" w:space="0" w:color="auto"/>
                <w:left w:val="none" w:sz="0" w:space="0" w:color="auto"/>
                <w:bottom w:val="none" w:sz="0" w:space="0" w:color="auto"/>
                <w:right w:val="none" w:sz="0" w:space="0" w:color="auto"/>
              </w:divBdr>
              <w:divsChild>
                <w:div w:id="1381395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lze.briede@pmlp.gov.lv" TargetMode="External"/><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mailto:kanceleja@iem.gov.lv" TargetMode="Externa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glossaryDocument" Target="glossary/document.xml"/><Relationship Id="rId1" Type="http://schemas.openxmlformats.org/officeDocument/2006/relationships/styles" Target="styles.xml"/><Relationship Id="rId6" Type="http://schemas.openxmlformats.org/officeDocument/2006/relationships/hyperlink" Target="mailto:Edgars.Gute@tm.gov.lv" TargetMode="External"/><Relationship Id="rId11" Type="http://schemas.openxmlformats.org/officeDocument/2006/relationships/hyperlink" Target="mailto:Eva.Krjukova@tm.gov.lv"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mailto:Linda.Upite@tm.gov.lv" TargetMode="External"/><Relationship Id="rId4" Type="http://schemas.openxmlformats.org/officeDocument/2006/relationships/footnotes" Target="footnotes.xml"/><Relationship Id="rId9" Type="http://schemas.openxmlformats.org/officeDocument/2006/relationships/hyperlink" Target="mailto:ilze.briede@pmlp.gov.lv" TargetMode="Externa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imes New Roman , Times, serif">
    <w:altName w:val="Times New Roman"/>
    <w:panose1 w:val="00000000000000000000"/>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6DC9"/>
    <w:rsid w:val="00906DC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2CE62015A2640DCA9D84961F2E30A14">
    <w:name w:val="F2CE62015A2640DCA9D84961F2E30A14"/>
    <w:rsid w:val="00906D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8887</Words>
  <Characters>5066</Characters>
  <Application>Microsoft Office Word</Application>
  <DocSecurity>0</DocSecurity>
  <Lines>42</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Ilze Briede</dc:creator>
  <cp:keywords/>
  <dc:description/>
  <cp:lastModifiedBy>Ilze Briede</cp:lastModifiedBy>
  <cp:revision>1</cp:revision>
  <dcterms:created xsi:type="dcterms:W3CDTF">2021-02-22T13:51:00Z</dcterms:created>
  <dcterms:modified xsi:type="dcterms:W3CDTF">2021-02-22T13:53:00Z</dcterms:modified>
</cp:coreProperties>
</file>