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Gaujas Nacionālā parka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nesaskaņo  MK noteikumu projektu,  līdz netiek izveidots un sakārtots, kā arī iesniegts sabiedrības vērtēšanai  kompensāciju mehānisms par finansiālajiem zaudējumiem, kas rodas īpašniekam, ierobežojot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uzstādīt vēja elektrostacijas, kuru augstākais punkts pārsniedz 30 metru augstumu, izņemot vēja elektrostacijas neitrālajā zonā, kur pieļaujamo vēja elektrostaciju augstumu nosaka vietējās pašvaldības teritorijas plānojumā;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dažādām pašvaldībām, atkarībā no to attīstības plāniem ir atšķirīgs skatījums uz vēja elektrostaciju būvniecību. Tādēļ rosinām likumā noteikt pieļaujamo vēja elektrostaciju augstumu visā Gaujas Nacionālā parka teritorijā, pieļaujot iespēju, ka vietējās pašvaldības teritorijas plānojumā var noteikt pieļaujamo vēja elektrostacijas augstumu, kas atšķiras no šajos noteikumos noteiktā.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13.30.1. medņus </w:t>
            </w:r>
            <w:r w:rsidR="00000000" w:rsidRPr="00000000" w:rsidDel="00000000">
              <w:rPr>
                <w:i w:val="1"/>
                <w:rtl w:val="0"/>
              </w:rPr>
              <w:t xml:space="preserve">Tetrao urogallus</w:t>
            </w:r>
            <w:r w:rsidR="00000000" w:rsidRPr="00000000" w:rsidDel="00000000">
              <w:rPr>
                <w:rtl w:val="0"/>
              </w:rPr>
              <w:t xml:space="preserve">, rubeņus </w:t>
            </w:r>
            <w:r w:rsidR="00000000" w:rsidRPr="00000000" w:rsidDel="00000000">
              <w:rPr>
                <w:i w:val="1"/>
                <w:rtl w:val="0"/>
              </w:rPr>
              <w:t xml:space="preserve">Tetrao tetrix</w:t>
            </w:r>
            <w:r w:rsidR="00000000" w:rsidRPr="00000000" w:rsidDel="00000000">
              <w:rPr>
                <w:rtl w:val="0"/>
              </w:rPr>
              <w:t xml:space="preserve">, raķeļus </w:t>
            </w:r>
            <w:r w:rsidR="00000000" w:rsidRPr="00000000" w:rsidDel="00000000">
              <w:rPr>
                <w:i w:val="1"/>
                <w:rtl w:val="0"/>
              </w:rPr>
              <w:t xml:space="preserve">Tetrao tetrix x Tetrao urogallus</w:t>
            </w:r>
            <w:r w:rsidR="00000000" w:rsidRPr="00000000" w:rsidDel="00000000">
              <w:rPr>
                <w:rtl w:val="0"/>
              </w:rPr>
              <w:t xml:space="preserve">, pelēkos zaķus </w:t>
            </w:r>
            <w:r w:rsidR="00000000" w:rsidRPr="00000000" w:rsidDel="00000000">
              <w:rPr>
                <w:i w:val="1"/>
                <w:rtl w:val="0"/>
              </w:rPr>
              <w:t xml:space="preserve">Lepus europaeus</w:t>
            </w:r>
            <w:r w:rsidR="00000000" w:rsidRPr="00000000" w:rsidDel="00000000">
              <w:rPr>
                <w:rtl w:val="0"/>
              </w:rPr>
              <w:t xml:space="preserve">, baltos zaķus </w:t>
            </w:r>
            <w:r w:rsidR="00000000" w:rsidRPr="00000000" w:rsidDel="00000000">
              <w:rPr>
                <w:i w:val="1"/>
                <w:rtl w:val="0"/>
              </w:rPr>
              <w:t xml:space="preserve">Lepus timidus</w:t>
            </w:r>
            <w:r w:rsidR="00000000" w:rsidRPr="00000000" w:rsidDel="00000000">
              <w:rPr>
                <w:rtl w:val="0"/>
              </w:rPr>
              <w:t xml:space="preserve">, akmens caunas </w:t>
            </w:r>
            <w:r w:rsidR="00000000" w:rsidRPr="00000000" w:rsidDel="00000000">
              <w:rPr>
                <w:i w:val="1"/>
                <w:rtl w:val="0"/>
              </w:rPr>
              <w:t xml:space="preserve">Martes foina</w:t>
            </w:r>
            <w:r w:rsidR="00000000" w:rsidRPr="00000000" w:rsidDel="00000000">
              <w:rPr>
                <w:rtl w:val="0"/>
              </w:rPr>
              <w:t xml:space="preserve">, seskus </w:t>
            </w:r>
            <w:r w:rsidR="00000000" w:rsidRPr="00000000" w:rsidDel="00000000">
              <w:rPr>
                <w:i w:val="1"/>
                <w:rtl w:val="0"/>
              </w:rPr>
              <w:t xml:space="preserve">Mustela putorius</w:t>
            </w:r>
            <w:r w:rsidR="00000000" w:rsidRPr="00000000" w:rsidDel="00000000">
              <w:rPr>
                <w:rtl w:val="0"/>
              </w:rPr>
              <w:t xml:space="preserve">, āpšus </w:t>
            </w:r>
            <w:r w:rsidR="00000000" w:rsidRPr="00000000" w:rsidDel="00000000">
              <w:rPr>
                <w:i w:val="1"/>
                <w:rtl w:val="0"/>
              </w:rPr>
              <w:t xml:space="preserve">Meles meles,</w:t>
            </w:r>
            <w:r w:rsidR="00000000" w:rsidRPr="00000000" w:rsidDel="00000000">
              <w:rPr>
                <w:rtl w:val="0"/>
              </w:rPr>
              <w:t xml:space="preserve"> mežirbes </w:t>
            </w:r>
            <w:r w:rsidR="00000000" w:rsidRPr="00000000" w:rsidDel="00000000">
              <w:rPr>
                <w:i w:val="1"/>
                <w:rtl w:val="0"/>
              </w:rPr>
              <w:t xml:space="preserve">Bonasia bonasia</w:t>
            </w:r>
            <w:r w:rsidR="00000000" w:rsidRPr="00000000" w:rsidDel="00000000">
              <w:rPr>
                <w:rtl w:val="0"/>
              </w:rPr>
              <w:t xml:space="preserve">, lauku baložus </w:t>
            </w:r>
            <w:r w:rsidR="00000000" w:rsidRPr="00000000" w:rsidDel="00000000">
              <w:rPr>
                <w:i w:val="1"/>
                <w:rtl w:val="0"/>
              </w:rPr>
              <w:t xml:space="preserve">Columba palumbus</w:t>
            </w:r>
            <w:r w:rsidR="00000000" w:rsidRPr="00000000" w:rsidDel="00000000">
              <w:rPr>
                <w:rtl w:val="0"/>
              </w:rPr>
              <w:t xml:space="preserve"> un slokas </w:t>
            </w:r>
            <w:r w:rsidR="00000000" w:rsidRPr="00000000" w:rsidDel="00000000">
              <w:rPr>
                <w:i w:val="1"/>
                <w:rtl w:val="0"/>
              </w:rPr>
              <w:t xml:space="preserve">Scolopax rusticola</w:t>
            </w:r>
            <w:r w:rsidR="00000000" w:rsidRPr="00000000" w:rsidDel="00000000">
              <w:rPr>
                <w:rtl w:val="0"/>
              </w:rPr>
              <w:t xml:space="preserve">. Akmens caunas </w:t>
            </w:r>
            <w:r w:rsidR="00000000" w:rsidRPr="00000000" w:rsidDel="00000000">
              <w:rPr>
                <w:i w:val="1"/>
                <w:rtl w:val="0"/>
              </w:rPr>
              <w:t xml:space="preserve">Martes foina</w:t>
            </w:r>
            <w:r w:rsidR="00000000" w:rsidRPr="00000000" w:rsidDel="00000000">
              <w:rPr>
                <w:rtl w:val="0"/>
              </w:rPr>
              <w:t xml:space="preserve"> un seskus </w:t>
            </w:r>
            <w:r w:rsidR="00000000" w:rsidRPr="00000000" w:rsidDel="00000000">
              <w:rPr>
                <w:i w:val="1"/>
                <w:rtl w:val="0"/>
              </w:rPr>
              <w:t xml:space="preserve">Mustela putorius</w:t>
            </w:r>
            <w:r w:rsidR="00000000" w:rsidRPr="00000000" w:rsidDel="00000000">
              <w:rPr>
                <w:rtl w:val="0"/>
              </w:rPr>
              <w:t xml:space="preserve"> atļauts medīt, ja tie nodara nozīmīgu kaitējumu lauksaimniecības dzīvniekiem. Šādā gadījumā Valsts meža dienests medību atļauju izsniedz pēc Dabas aizsardzības pārvaldes pozitīva atzinuma saņemšanas. Dabas aizsardzības pārvalde atzinumu sniedz 10 darbdienu laikā pēc Valsts meža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Seskus un akmens caunas, kas nodara kaitējumu lauksaimniecības dzīvniekiem un/ vai putnus būtu jābūt iespējai izņemt no populācijas jeb nomedīt nekavējoties. Vispirms pierādīt, ka ir nodarīts nozīmīgs kaitējums (nav definēts, kāds tas ir), tad ziņot VMD, kurš pieprasa DAP atzinumu, ko sagatavo 10 darba dienu laikā, tad VMD pieņemt lēmumu un izsniegt medību atļauju (nav noteikts, cik ilgā laikā) ir ievērojama birokrātiskā sloga palielināšana. Pie tam, sesks un akmens cauna ir nelimitējami medību dzīvnieki, kuru medīšanai saskaņā ar Medību likumu medību atļaujas vispār netiek izsniegtas. Vai šajā gadījumā tiks grozīts Medību likums un paredzētas speciālas medību atļaujas seskiem un akmens caunai Gaujas Nacionālajā parkā?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13.30.2. vilkus </w:t>
            </w:r>
            <w:r w:rsidR="00000000" w:rsidRPr="00000000" w:rsidDel="00000000">
              <w:rPr>
                <w:i w:val="1"/>
                <w:rtl w:val="0"/>
              </w:rPr>
              <w:t xml:space="preserve">Canis lupus</w:t>
            </w:r>
            <w:r w:rsidR="00000000" w:rsidRPr="00000000" w:rsidDel="00000000">
              <w:rPr>
                <w:rtl w:val="0"/>
              </w:rPr>
              <w:t xml:space="preserve">, izņemot epizootiju uzliesmojuma vai draudu gadījumā vai ja tie nodara nozīmīgu kaitējumu lauksaimniecības dzīvniekiem. Šādā gadījumā Valsts meža dienests medību atļauju izsniedz pēc Dabas aizsardzības pārvaldes pozitīva atzinuma saņemšanas. Dabas aizsardzības pārvalde atzinumu sniedz 10 darbdienu laikā pēc Valsts meža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draudu gadījumā būtu jābūt iespējai rīkoties nekavējoties, nevis iziet paredzēto procedūru, kas aizņem minimums 10 darba dienas. Arī gadījumos, kad vilku uzbrukuma dēļ tiek nodarīts nozīmīgs kaitējums lauksaimniecības dzīvniekiem, šāda procedūra ir pārāk gara un birokrātiska.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50.2. bez Dabas aizsardzības pārvaldes rakstveida atļaujas uzstādīt saules paneļus (iekārtas) šo noteikumu </w:t>
            </w:r>
            <w:r w:rsidR="00000000" w:rsidRPr="00000000" w:rsidDel="00000000">
              <w:rPr>
                <w:rtl w:val="0"/>
              </w:rPr>
              <w:t xml:space="preserve">2.</w:t>
            </w:r>
            <w:r w:rsidR="00000000" w:rsidRPr="00000000" w:rsidDel="00000000">
              <w:rPr>
                <w:rtl w:val="0"/>
              </w:rPr>
              <w:t xml:space="preserve"> pielikumā vai vietējās pašvaldības teritorijas plānojumā noteiktajās ainaviski vērtīgajās teritorijās, izņemot pašpatēriņam atbilstoši spēkā esošajiem normatīvajiem aktiem, kas regulē saules paneļu uzstādīšanas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saules paneļi, tāpat kā ātraudzīgie kārkli, derīgo izrakteņu ieguve u.tml., ainavu ietekmē negatīvi, tāpēc ainaviski vērtīgajās teritorijās (2.pielikums)  to uzstādīšana (izņemot pašpatēriņam) nebūtu pieļaujama. Šī brīža redakcija bez saprotama pamatojuma paredz nevienlīdzīgu attieksmi dažādām saimnieciskajām darbībām, kas negatīvi var ietekmēt ainaviski vērtīgās teritorijas - bez izvērtēšanas iespējām aizliedzot kārklu audzēšanu (13.22.) un derīgo izrakteņu ieguvi (13.27.), bet ar DAP atļauju pieļaujot saules paneļu parku būvniecību ainaviski vērtīgajās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šajā punktā minētās vietējās pašvaldības teritorijas plānojumā noteiktās ainaviski vērtīgās teritorijas var nesakrist ar 2.pielikumā minētajām ainaviski vērtīgajām teritorijām, un, ja vispār šādās teritorijās ar šiem noteikumiem tiek pieļauta saules paneļu uzstādīšana, tad pašvaldību noteiktajās ainaviskai vērtīgajās teritorijās ārpus 2. pielikumam to noteiktu pašvaldības,  nevis Dabas aizsardzības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Rakšte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27.03.2025.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27.03.2025.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Atzinumi_24-TA-210.docx</dc:title>
</cp:coreProperties>
</file>

<file path=docProps/custom.xml><?xml version="1.0" encoding="utf-8"?>
<Properties xmlns="http://schemas.openxmlformats.org/officeDocument/2006/custom-properties" xmlns:vt="http://schemas.openxmlformats.org/officeDocument/2006/docPropsVTypes"/>
</file>