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nepilngadīgo patvēruma meklētāju bez pavadības tiesību un interešu aizsardzības pasākumu ietekmi uz pašvaldību budžetiem”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izskatīt visu Informatīvo ziņojumu “Par nepilngadīgo patvēruma meklētāju bez pavadības tiesību un interešu aizsardzības pasākumu ietekmi uz pašvaldību budžetiem” (turpmāk - Inforātīvais ziņojums) un precizēt visā  Infrormātīvā ziņojuma tekstā "</w:t>
            </w:r>
            <w:r w:rsidR="00000000" w:rsidRPr="00000000" w:rsidDel="00000000">
              <w:rPr>
                <w:b w:val="1"/>
                <w:rtl w:val="0"/>
              </w:rPr>
              <w:t xml:space="preserve">Sabiedrības integrācijas fonds".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Piedāvātā redakcija: Sabiedrības integrācijas fonda Nacionālā koordinējošā iestāde patvēruma meklētāju un starptautiskās aizsardzības saņemēju sociālekonomiskajai iekļaušanai.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Dabiža-Petrovska (SIF)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18.09.2024.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18.09.2024.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