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1996, 18. nr.; 1999, 23. nr.; 2002, 23. nr.; 2004, 9. nr.; 2008, 24. nr.; 2009, 14. nr.; Latvijas Vēstnesis, 2010, 43. nr.; 2013, 106. nr.; 2019, 219. nr.; 2023, 42. nr.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ievaddaļu atbilstoši Ministru kabineta 2009. gada 3. februāra noteikumu Nr. 108 "Normatīvo aktu projektu sagatavošanas noteikumi" 68.2.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otro daļu ar vārdiem "un preču vispārēju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izdarāmo grozījumu redakciju, norādot, kur attiecīgā likuma vienība papildināma ar jauno tekstu, atbilstoši Ministru kabineta 2009. gada 3. februāra noteikumu Nr. 108 "Normatīvo aktu projektu sagatavošanas noteikumi" 79.3.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"Eiropas Parlamenta un Padomes Regulai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2019/1020)";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izdarāmo grozījumu redakciju, norādot, kā attiecīgā likuma vienība grozāma, atbilstoši Ministru kabineta 2009. gada 3. februāra noteikumu Nr. 108 "Normatīvo aktu projektu sagatavošanas noteikumi" 79.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sadaļā projekta aprakstā precizēt Eiropas Parlamenta un Padomes Regulas (ES) 2023/988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risinājuma aprakstā minēts, ka lielākā daļa normu, kas ir ieviestas Preču un pakalpojumu drošuma likumā attiecībā uz preču drošumu, tiek svītrotas. Lūdzam precizēt attiecīgo aprakstu, jo attiecīgās normas zaudē savu spēku, jo spēku zaudē arī Preču un pakalpojumu drošuma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aprakstu, jo attiecīgās Preču un pakalpojumu drošuma likuma normas netiek svītrotas, proti, Preču un pakalpojumu drošuma likums netiek grozīts, bet aizstāts ar Pakalpojumu drošuma likumu un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24.09.2024.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24.09.2024.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