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Finanšu instrumentu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2. punktu ar vārdiem "un ilgtspējas ziņojuma vai konsolidētā ilgtspējas ziņojuma, ko sagatavo saskaņā ar Ilgtspējas informācijas atklāšanas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redakciju, lai neradītu maldīgu priekšstatu, ka ir vadības ziņojums un ilgtspējas ziņojums. Gada pārskata esošajā vadības ziņojumā iekļauj ilgtspējas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par prasību un izmaksu samērīguma izvērtējumu pret ieguvumiem tiek norādīta atbilde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vai šeit nevajadzētu pieminēt par elektroniskā formāta ieviešanu? Tie, kam šobrīd ir XHTML formāts, būs ar laiku jāievieš XBRL, lai marķētu ilgtspējas informāciju, it sevišķi mazajiem un vidējiem uzņēmumiem, kas ir emitenti un kuriem šobrīd nav pienākuma marķēt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pie Likuma 148.panta rosinām precizēt redakciju, jo </w:t>
            </w:r>
            <w:r w:rsidR="00000000" w:rsidRPr="00000000" w:rsidDel="00000000">
              <w:rPr>
                <w:rtl w:val="0"/>
              </w:rPr>
              <w:t xml:space="preserve">148. panta 16. daļa nosaka sankcijas par pārkāpumiem. No tā tiek izslēgtas atsauces uz pantiem, kas saistīti ar nefinanšu paziņojumu, par cik nefinanšu paziņojums turpmāk vairs nebūs jāsagatavo (panti izslēgti no FITL). Tā vietā tiks gatavots ilgtspējas ziņojums, kam ir noteiktas atšķirīgas prasības kā tās bija nefinanšu paziņojumam.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aprakstā pie Likuma 56.3 un 56.4 panta rosinām precizēt redakciju, jo nefinanšu paziņojums tiek aizstāts ar ilgtspējas ziņojumu, nevis nefinanšu paziņojuma prasības tiek iekļautas Ilgtspējas informācijas atklāšanas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aprakstā pie Likuma 56.panta rosinām precizēt pēdējo rindkopu atbilstoši spēkā esošajai Likuma redakcijai, precizējot par "paziņojumu par vadības atbildību", papildinot ar "finanšu pārskatiem" un svītrojot "atalgojuma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pie Likuma 56.panta rosinām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neradītu maldīgu priekšstatu, ka ir vadības ziņojums un ilgtspējas ziņojums. Gada pārskata esošajā vadības ziņojumā iekļauj ilgtspējas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vienādotu tekstu ar likumprojektu, jo ilgtspējas ziņojumu uzņēmums nesagatavo atbilstoši revidenta standartiem, bet ilgtspējas ziņu sniegšanas standartiem (atbilstoši direktīvas 29.b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rtl w:val="0"/>
              </w:rPr>
              <w:t xml:space="preserve">Revidenta ziņojums par finanšu pārskatu paliek nemainīgs, revidenta ziņojums netiek papildināts. 56. panta 5. daļa tiek papildināta ar apliecinājuma ziņojumu par ilgtspējas ziņojumu vai konsolidēto ilgtspējas ziņojumu, kas būs atsevišķs dokuments, kas emitentam būs jāpublisko.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aprakstā pie juridiskām personām rosinām izvērtēt, vai nebūtu jāpiemin </w:t>
            </w:r>
            <w:r w:rsidR="00000000" w:rsidRPr="00000000" w:rsidDel="00000000">
              <w:rPr>
                <w:rtl w:val="0"/>
              </w:rPr>
              <w:t xml:space="preserve">arī elektroniskā formāta jautājums, kas radīs izmaksas un papildu darbu emitentiem?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svītrot vārdus "attiecībā uz revīzijas komitejas uzdevumiem ilgtspējas jomā", jo darba grupa izvērtēja visas jomas, ne tikai šo vienīgo.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23-TA-3280</w:t>
    </w:r>
    <w:r>
      <w:br/>
    </w:r>
    <w:r w:rsidR="00000000" w:rsidRPr="00000000" w:rsidDel="00000000">
      <w:rPr>
        <w:rtl w:val="0"/>
      </w:rPr>
      <w:t xml:space="preserve">Izdrukāts 12.02.2024.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23-TA-3280</w:t>
    </w:r>
    <w:r>
      <w:br/>
    </w:r>
    <w:r w:rsidR="00000000" w:rsidRPr="00000000" w:rsidDel="00000000">
      <w:rPr>
        <w:rtl w:val="0"/>
      </w:rPr>
      <w:t xml:space="preserve">Izdrukāts 12.02.2024.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Atzinumi_23-TA-3280.docx</dc:title>
</cp:coreProperties>
</file>

<file path=docProps/custom.xml><?xml version="1.0" encoding="utf-8"?>
<Properties xmlns="http://schemas.openxmlformats.org/officeDocument/2006/custom-properties" xmlns:vt="http://schemas.openxmlformats.org/officeDocument/2006/docPropsVTypes"/>
</file>