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ES fondu 2021.–2027. gada plānošanas perioda MK noteikumu par specifisko atbalsta mērķu ieviešanu izstrādes laika grafikā Valsts kancelejas atbildībā esošajiem pasākumiem -1.3.1.2., 4.3.4.4., 4.3.4.5., 4.3.6.7., 4.3.6.8. un 4.3.6.9. atbilstoši reālajai situācijai, kā arī ņemot vērā noteiktos termiņus dokumentācijas iesniegšanai apakškometejās un Uzraudzības komitejā, pārceļot par ceturksni uz priekšu no 2023.gada 1.ceturkšņa uz 2023.gada 2.ceturksni plānoto izskatīšanu Apakškomitejā (kolona Nr.13), plānoto izskatīšana Uzraudzības komitejā (kolona Nr.14), saskaņošanas uzsākšanu TAP (kolona Nr.15), kā arī lūdzam pārcelt termiņu no 2023.gada 1.ceturkšņa uz 3.ceturksni visiem iepriekšminētajiem pasākumiem iesniegšanai apstiprināšanai MK (kolona Nr.16) un plānoto atlases uzsākšanas laiku (kolona Nr.17) visiem pasākumiem noteikt 2023.gada 3.ceturksni.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Balode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22.02.2023.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22.02.2023.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